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D59" w:rsidRPr="008200DE" w:rsidRDefault="00D20D59" w:rsidP="00D20D59">
      <w:pPr>
        <w:shd w:val="clear" w:color="auto" w:fill="FFFFFF"/>
        <w:spacing w:after="324" w:line="319" w:lineRule="atLeast"/>
        <w:jc w:val="both"/>
        <w:rPr>
          <w:rFonts w:eastAsia="Times New Roman" w:cstheme="minorHAnsi"/>
          <w:b/>
          <w:color w:val="444444"/>
          <w:sz w:val="30"/>
          <w:szCs w:val="30"/>
          <w:u w:val="single"/>
          <w:lang w:eastAsia="es-MX"/>
        </w:rPr>
      </w:pPr>
      <w:r w:rsidRPr="008200DE">
        <w:rPr>
          <w:rFonts w:eastAsia="Times New Roman" w:cstheme="minorHAnsi"/>
          <w:b/>
          <w:color w:val="444444"/>
          <w:sz w:val="30"/>
          <w:szCs w:val="30"/>
          <w:u w:val="single"/>
          <w:lang w:eastAsia="es-MX"/>
        </w:rPr>
        <w:t xml:space="preserve">Aviso </w:t>
      </w:r>
      <w:r w:rsidR="00687CD7" w:rsidRPr="008200DE">
        <w:rPr>
          <w:rFonts w:eastAsia="Times New Roman" w:cstheme="minorHAnsi"/>
          <w:b/>
          <w:color w:val="444444"/>
          <w:sz w:val="30"/>
          <w:szCs w:val="30"/>
          <w:u w:val="single"/>
          <w:lang w:eastAsia="es-MX"/>
        </w:rPr>
        <w:t>4</w:t>
      </w:r>
      <w:r w:rsidRPr="008200DE">
        <w:rPr>
          <w:rFonts w:eastAsia="Times New Roman" w:cstheme="minorHAnsi"/>
          <w:b/>
          <w:color w:val="444444"/>
          <w:sz w:val="30"/>
          <w:szCs w:val="30"/>
          <w:u w:val="single"/>
          <w:lang w:eastAsia="es-MX"/>
        </w:rPr>
        <w:t>/2015 Análisis Financiero y Presupuestal</w:t>
      </w:r>
      <w:r w:rsidRPr="008200DE">
        <w:rPr>
          <w:rFonts w:eastAsia="Times New Roman" w:cstheme="minorHAnsi"/>
          <w:b/>
          <w:color w:val="444444"/>
          <w:sz w:val="30"/>
          <w:szCs w:val="30"/>
          <w:u w:val="single"/>
          <w:lang w:eastAsia="es-MX"/>
        </w:rPr>
        <w:tab/>
      </w:r>
    </w:p>
    <w:p w:rsidR="00D20D59" w:rsidRPr="008200DE" w:rsidRDefault="00D20D59" w:rsidP="00D20D59">
      <w:pPr>
        <w:shd w:val="clear" w:color="auto" w:fill="FFFFFF"/>
        <w:spacing w:after="324" w:line="319" w:lineRule="atLeast"/>
        <w:jc w:val="both"/>
        <w:rPr>
          <w:rFonts w:eastAsia="Times New Roman" w:cstheme="minorHAnsi"/>
          <w:b/>
          <w:color w:val="444444"/>
          <w:sz w:val="30"/>
          <w:szCs w:val="30"/>
          <w:u w:val="single"/>
          <w:lang w:eastAsia="es-MX"/>
        </w:rPr>
      </w:pPr>
      <w:r w:rsidRPr="008200DE">
        <w:rPr>
          <w:rFonts w:eastAsia="Times New Roman" w:cstheme="minorHAnsi"/>
          <w:b/>
          <w:color w:val="444444"/>
          <w:sz w:val="30"/>
          <w:szCs w:val="30"/>
          <w:u w:val="single"/>
          <w:lang w:eastAsia="es-MX"/>
        </w:rPr>
        <w:t xml:space="preserve">SAACG.Net </w:t>
      </w:r>
      <w:r w:rsidR="004C0021">
        <w:rPr>
          <w:rFonts w:eastAsia="Times New Roman" w:cstheme="minorHAnsi"/>
          <w:b/>
          <w:color w:val="444444"/>
          <w:sz w:val="30"/>
          <w:szCs w:val="30"/>
          <w:u w:val="single"/>
          <w:lang w:eastAsia="es-MX"/>
        </w:rPr>
        <w:t>–</w:t>
      </w:r>
      <w:r w:rsidRPr="008200DE">
        <w:rPr>
          <w:rFonts w:eastAsia="Times New Roman" w:cstheme="minorHAnsi"/>
          <w:b/>
          <w:color w:val="444444"/>
          <w:sz w:val="30"/>
          <w:szCs w:val="30"/>
          <w:u w:val="single"/>
          <w:lang w:eastAsia="es-MX"/>
        </w:rPr>
        <w:t xml:space="preserve"> Codificación</w:t>
      </w:r>
      <w:r w:rsidR="004C0021">
        <w:rPr>
          <w:rFonts w:eastAsia="Times New Roman" w:cstheme="minorHAnsi"/>
          <w:b/>
          <w:color w:val="444444"/>
          <w:sz w:val="30"/>
          <w:szCs w:val="30"/>
          <w:u w:val="single"/>
          <w:lang w:eastAsia="es-MX"/>
        </w:rPr>
        <w:t xml:space="preserve"> </w:t>
      </w:r>
      <w:r w:rsidR="004C0021" w:rsidRPr="004C0021">
        <w:rPr>
          <w:rFonts w:eastAsia="Times New Roman" w:cstheme="minorHAnsi"/>
          <w:b/>
          <w:color w:val="444444"/>
          <w:sz w:val="30"/>
          <w:szCs w:val="30"/>
          <w:u w:val="single"/>
          <w:lang w:eastAsia="es-MX"/>
        </w:rPr>
        <w:t xml:space="preserve">(número de cuenta) </w:t>
      </w:r>
      <w:r w:rsidRPr="008200DE">
        <w:rPr>
          <w:rFonts w:eastAsia="Times New Roman" w:cstheme="minorHAnsi"/>
          <w:b/>
          <w:color w:val="444444"/>
          <w:sz w:val="30"/>
          <w:szCs w:val="30"/>
          <w:u w:val="single"/>
          <w:lang w:eastAsia="es-MX"/>
        </w:rPr>
        <w:t>de los Pasivos 2015</w:t>
      </w:r>
    </w:p>
    <w:p w:rsidR="00D20D59" w:rsidRPr="008200DE" w:rsidRDefault="00D20D59" w:rsidP="00D20D59">
      <w:pPr>
        <w:jc w:val="both"/>
        <w:rPr>
          <w:rFonts w:eastAsia="Times New Roman" w:cstheme="minorHAnsi"/>
          <w:b/>
          <w:bCs/>
          <w:color w:val="444444"/>
          <w:sz w:val="24"/>
          <w:szCs w:val="24"/>
          <w:lang w:eastAsia="es-MX"/>
        </w:rPr>
      </w:pPr>
      <w:r w:rsidRPr="008200DE">
        <w:rPr>
          <w:rFonts w:eastAsia="Times New Roman" w:cstheme="minorHAnsi"/>
          <w:b/>
          <w:bCs/>
          <w:color w:val="444444"/>
          <w:sz w:val="24"/>
          <w:szCs w:val="24"/>
          <w:lang w:eastAsia="es-MX"/>
        </w:rPr>
        <w:t>CON ATENCIÓN A</w:t>
      </w:r>
      <w:r w:rsidR="00B576FA" w:rsidRPr="008200DE">
        <w:rPr>
          <w:rFonts w:eastAsia="Times New Roman" w:cstheme="minorHAnsi"/>
          <w:b/>
          <w:bCs/>
          <w:color w:val="444444"/>
          <w:sz w:val="24"/>
          <w:szCs w:val="24"/>
          <w:lang w:eastAsia="es-MX"/>
        </w:rPr>
        <w:t xml:space="preserve">: </w:t>
      </w:r>
      <w:r w:rsidR="00B576FA" w:rsidRPr="00B576FA">
        <w:rPr>
          <w:rFonts w:eastAsia="Times New Roman" w:cstheme="minorHAnsi"/>
          <w:b/>
          <w:bCs/>
          <w:color w:val="444444"/>
          <w:sz w:val="24"/>
          <w:szCs w:val="24"/>
          <w:lang w:eastAsia="es-MX"/>
        </w:rPr>
        <w:t>TESOREROS</w:t>
      </w:r>
      <w:r w:rsidR="00B576FA" w:rsidRPr="00B576FA">
        <w:rPr>
          <w:rFonts w:eastAsia="Times New Roman" w:cstheme="minorHAnsi"/>
          <w:b/>
          <w:bCs/>
          <w:color w:val="444444"/>
          <w:sz w:val="24"/>
          <w:szCs w:val="24"/>
          <w:lang w:eastAsia="es-MX"/>
        </w:rPr>
        <w:t xml:space="preserve"> (AS) MUNICIPALES Y DIRECTORES (AS) DE LOS SISTEMAS DE AGUA POTABLE.</w:t>
      </w:r>
    </w:p>
    <w:p w:rsidR="00DF5BD5" w:rsidRPr="008200DE" w:rsidRDefault="00D20D59" w:rsidP="00DF5BD5">
      <w:pPr>
        <w:pStyle w:val="ecxmsonormal"/>
        <w:shd w:val="clear" w:color="auto" w:fill="FFFFFF"/>
        <w:spacing w:before="0" w:beforeAutospacing="0" w:after="324" w:afterAutospacing="0" w:line="312" w:lineRule="atLeast"/>
        <w:jc w:val="both"/>
        <w:rPr>
          <w:rFonts w:asciiTheme="minorHAnsi" w:hAnsiTheme="minorHAnsi" w:cstheme="minorHAnsi"/>
          <w:color w:val="444444"/>
        </w:rPr>
      </w:pPr>
      <w:r w:rsidRPr="008200DE">
        <w:rPr>
          <w:rFonts w:asciiTheme="minorHAnsi" w:hAnsiTheme="minorHAnsi" w:cstheme="minorHAnsi"/>
          <w:color w:val="444444"/>
        </w:rPr>
        <w:t>D</w:t>
      </w:r>
      <w:r w:rsidR="00DF5BD5" w:rsidRPr="008200DE">
        <w:rPr>
          <w:rFonts w:asciiTheme="minorHAnsi" w:hAnsiTheme="minorHAnsi" w:cstheme="minorHAnsi"/>
          <w:color w:val="444444"/>
        </w:rPr>
        <w:t>erivado de los cambios en codificaciones</w:t>
      </w:r>
      <w:r w:rsidR="004C0021">
        <w:rPr>
          <w:rFonts w:asciiTheme="minorHAnsi" w:hAnsiTheme="minorHAnsi" w:cstheme="minorHAnsi"/>
          <w:color w:val="444444"/>
        </w:rPr>
        <w:t xml:space="preserve"> (números de cuenta)</w:t>
      </w:r>
      <w:r w:rsidR="00DF5BD5" w:rsidRPr="008200DE">
        <w:rPr>
          <w:rFonts w:asciiTheme="minorHAnsi" w:hAnsiTheme="minorHAnsi" w:cstheme="minorHAnsi"/>
          <w:color w:val="444444"/>
        </w:rPr>
        <w:t xml:space="preserve"> de los pasi</w:t>
      </w:r>
      <w:r w:rsidR="008B483A" w:rsidRPr="008200DE">
        <w:rPr>
          <w:rFonts w:asciiTheme="minorHAnsi" w:hAnsiTheme="minorHAnsi" w:cstheme="minorHAnsi"/>
          <w:color w:val="444444"/>
        </w:rPr>
        <w:t xml:space="preserve">vos en la apertura del ejercicio 2015,  específicamente las cuentas 2111 Servicios Personales por Pagar a Corto Plazo y 2112 Proveedores por Pagar a Corto Plazo, se solicitó a INDETEC hiciera la aclaración correspondiente, por lo que por este medio hacemos de su conocimiento dicha información: </w:t>
      </w:r>
    </w:p>
    <w:p w:rsidR="00DF5BD5" w:rsidRPr="008200DE" w:rsidRDefault="00DF5BD5" w:rsidP="008B483A">
      <w:pPr>
        <w:pStyle w:val="ecxmsonormal"/>
        <w:shd w:val="clear" w:color="auto" w:fill="FFFFFF"/>
        <w:spacing w:before="0" w:beforeAutospacing="0" w:after="324" w:afterAutospacing="0" w:line="312" w:lineRule="atLeast"/>
        <w:jc w:val="both"/>
        <w:rPr>
          <w:rFonts w:asciiTheme="minorHAnsi" w:hAnsiTheme="minorHAnsi" w:cstheme="minorHAnsi"/>
          <w:color w:val="444444"/>
        </w:rPr>
      </w:pPr>
      <w:r w:rsidRPr="008200DE">
        <w:rPr>
          <w:rFonts w:asciiTheme="minorHAnsi" w:hAnsiTheme="minorHAnsi" w:cstheme="minorHAnsi"/>
          <w:color w:val="444444"/>
        </w:rPr>
        <w:t xml:space="preserve">Referente a la manera en el que el SAACG.Net se encuentra codificando los </w:t>
      </w:r>
      <w:r w:rsidR="00A479F9" w:rsidRPr="008200DE">
        <w:rPr>
          <w:rFonts w:asciiTheme="minorHAnsi" w:hAnsiTheme="minorHAnsi" w:cstheme="minorHAnsi"/>
          <w:b/>
          <w:color w:val="444444"/>
        </w:rPr>
        <w:t>Pasivos</w:t>
      </w:r>
      <w:r w:rsidR="00A479F9" w:rsidRPr="008200DE">
        <w:rPr>
          <w:rFonts w:asciiTheme="minorHAnsi" w:hAnsiTheme="minorHAnsi" w:cstheme="minorHAnsi"/>
          <w:color w:val="444444"/>
        </w:rPr>
        <w:t xml:space="preserve"> </w:t>
      </w:r>
      <w:r w:rsidRPr="008200DE">
        <w:rPr>
          <w:rFonts w:asciiTheme="minorHAnsi" w:hAnsiTheme="minorHAnsi" w:cstheme="minorHAnsi"/>
          <w:color w:val="444444"/>
        </w:rPr>
        <w:t xml:space="preserve">efectivamente </w:t>
      </w:r>
      <w:r w:rsidRPr="008200DE">
        <w:rPr>
          <w:rFonts w:asciiTheme="minorHAnsi" w:hAnsiTheme="minorHAnsi" w:cstheme="minorHAnsi"/>
          <w:b/>
          <w:i/>
          <w:color w:val="444444"/>
        </w:rPr>
        <w:t xml:space="preserve">es un cambio que el Sistema aplicó </w:t>
      </w:r>
      <w:r w:rsidRPr="008200DE">
        <w:rPr>
          <w:rFonts w:asciiTheme="minorHAnsi" w:hAnsiTheme="minorHAnsi" w:cstheme="minorHAnsi"/>
          <w:color w:val="444444"/>
        </w:rPr>
        <w:t>con la actualización</w:t>
      </w:r>
      <w:r w:rsidRPr="008200DE">
        <w:rPr>
          <w:rFonts w:asciiTheme="minorHAnsi" w:hAnsiTheme="minorHAnsi" w:cstheme="minorHAnsi"/>
          <w:b/>
          <w:color w:val="444444"/>
        </w:rPr>
        <w:t xml:space="preserve"> 1</w:t>
      </w:r>
      <w:r w:rsidR="008B483A" w:rsidRPr="008200DE">
        <w:rPr>
          <w:rFonts w:asciiTheme="minorHAnsi" w:hAnsiTheme="minorHAnsi" w:cstheme="minorHAnsi"/>
          <w:b/>
          <w:color w:val="444444"/>
        </w:rPr>
        <w:t>.</w:t>
      </w:r>
      <w:r w:rsidRPr="008200DE">
        <w:rPr>
          <w:rFonts w:asciiTheme="minorHAnsi" w:hAnsiTheme="minorHAnsi" w:cstheme="minorHAnsi"/>
          <w:b/>
          <w:color w:val="444444"/>
        </w:rPr>
        <w:t>5</w:t>
      </w:r>
      <w:r w:rsidR="008B483A" w:rsidRPr="008200DE">
        <w:rPr>
          <w:rFonts w:asciiTheme="minorHAnsi" w:hAnsiTheme="minorHAnsi" w:cstheme="minorHAnsi"/>
          <w:b/>
          <w:color w:val="444444"/>
        </w:rPr>
        <w:t>.</w:t>
      </w:r>
      <w:r w:rsidRPr="008200DE">
        <w:rPr>
          <w:rFonts w:asciiTheme="minorHAnsi" w:hAnsiTheme="minorHAnsi" w:cstheme="minorHAnsi"/>
          <w:b/>
          <w:color w:val="444444"/>
        </w:rPr>
        <w:t>0</w:t>
      </w:r>
      <w:r w:rsidR="008B483A" w:rsidRPr="008200DE">
        <w:rPr>
          <w:rFonts w:asciiTheme="minorHAnsi" w:hAnsiTheme="minorHAnsi" w:cstheme="minorHAnsi"/>
          <w:b/>
          <w:color w:val="444444"/>
        </w:rPr>
        <w:t>.</w:t>
      </w:r>
      <w:r w:rsidRPr="008200DE">
        <w:rPr>
          <w:rFonts w:asciiTheme="minorHAnsi" w:hAnsiTheme="minorHAnsi" w:cstheme="minorHAnsi"/>
          <w:b/>
          <w:color w:val="444444"/>
        </w:rPr>
        <w:t>0</w:t>
      </w:r>
      <w:r w:rsidR="00303DF8" w:rsidRPr="008200DE">
        <w:rPr>
          <w:rFonts w:asciiTheme="minorHAnsi" w:hAnsiTheme="minorHAnsi" w:cstheme="minorHAnsi"/>
          <w:b/>
          <w:color w:val="444444"/>
        </w:rPr>
        <w:t>,</w:t>
      </w:r>
      <w:r w:rsidRPr="008200DE">
        <w:rPr>
          <w:rFonts w:asciiTheme="minorHAnsi" w:hAnsiTheme="minorHAnsi" w:cstheme="minorHAnsi"/>
          <w:color w:val="444444"/>
        </w:rPr>
        <w:t xml:space="preserve"> </w:t>
      </w:r>
      <w:r w:rsidR="00303DF8" w:rsidRPr="008200DE">
        <w:rPr>
          <w:rFonts w:asciiTheme="minorHAnsi" w:hAnsiTheme="minorHAnsi" w:cstheme="minorHAnsi"/>
          <w:color w:val="444444"/>
        </w:rPr>
        <w:t>su</w:t>
      </w:r>
      <w:r w:rsidRPr="008200DE">
        <w:rPr>
          <w:rFonts w:asciiTheme="minorHAnsi" w:hAnsiTheme="minorHAnsi" w:cstheme="minorHAnsi"/>
          <w:color w:val="444444"/>
        </w:rPr>
        <w:t xml:space="preserve"> fundamento </w:t>
      </w:r>
      <w:r w:rsidR="00303DF8" w:rsidRPr="008200DE">
        <w:rPr>
          <w:rFonts w:asciiTheme="minorHAnsi" w:hAnsiTheme="minorHAnsi" w:cstheme="minorHAnsi"/>
          <w:color w:val="444444"/>
        </w:rPr>
        <w:t xml:space="preserve">está </w:t>
      </w:r>
      <w:r w:rsidRPr="008200DE">
        <w:rPr>
          <w:rFonts w:asciiTheme="minorHAnsi" w:hAnsiTheme="minorHAnsi" w:cstheme="minorHAnsi"/>
          <w:color w:val="444444"/>
        </w:rPr>
        <w:t>basado en que se realizó una revisión de las cuentas</w:t>
      </w:r>
      <w:r w:rsidR="00303DF8" w:rsidRPr="008200DE">
        <w:rPr>
          <w:rFonts w:asciiTheme="minorHAnsi" w:hAnsiTheme="minorHAnsi" w:cstheme="minorHAnsi"/>
          <w:color w:val="444444"/>
        </w:rPr>
        <w:t xml:space="preserve"> por parte de INDETEC </w:t>
      </w:r>
      <w:r w:rsidRPr="008200DE">
        <w:rPr>
          <w:rFonts w:asciiTheme="minorHAnsi" w:hAnsiTheme="minorHAnsi" w:cstheme="minorHAnsi"/>
          <w:color w:val="444444"/>
        </w:rPr>
        <w:t xml:space="preserve"> (Plan de Cuentas y Matrices</w:t>
      </w:r>
      <w:r w:rsidR="00303DF8" w:rsidRPr="008200DE">
        <w:rPr>
          <w:rFonts w:asciiTheme="minorHAnsi" w:hAnsiTheme="minorHAnsi" w:cstheme="minorHAnsi"/>
          <w:color w:val="444444"/>
        </w:rPr>
        <w:t xml:space="preserve"> de Conversión</w:t>
      </w:r>
      <w:r w:rsidRPr="008200DE">
        <w:rPr>
          <w:rFonts w:asciiTheme="minorHAnsi" w:hAnsiTheme="minorHAnsi" w:cstheme="minorHAnsi"/>
          <w:color w:val="444444"/>
        </w:rPr>
        <w:t>) que el sistema aplica. Derivado de esta revisión se llegó a la conclusión de que las</w:t>
      </w:r>
      <w:r w:rsidRPr="008200DE">
        <w:rPr>
          <w:rStyle w:val="apple-converted-space"/>
          <w:rFonts w:asciiTheme="minorHAnsi" w:hAnsiTheme="minorHAnsi" w:cstheme="minorHAnsi"/>
          <w:color w:val="444444"/>
        </w:rPr>
        <w:t> </w:t>
      </w:r>
      <w:r w:rsidRPr="008200DE">
        <w:rPr>
          <w:rFonts w:asciiTheme="minorHAnsi" w:hAnsiTheme="minorHAnsi" w:cstheme="minorHAnsi"/>
          <w:color w:val="444444"/>
        </w:rPr>
        <w:t xml:space="preserve">cuentas </w:t>
      </w:r>
      <w:r w:rsidRPr="008200DE">
        <w:rPr>
          <w:rFonts w:asciiTheme="minorHAnsi" w:hAnsiTheme="minorHAnsi" w:cstheme="minorHAnsi"/>
          <w:b/>
          <w:color w:val="444444"/>
        </w:rPr>
        <w:t>2111-0 y 2112-0</w:t>
      </w:r>
      <w:r w:rsidRPr="008200DE">
        <w:rPr>
          <w:rFonts w:asciiTheme="minorHAnsi" w:hAnsiTheme="minorHAnsi" w:cstheme="minorHAnsi"/>
          <w:color w:val="444444"/>
        </w:rPr>
        <w:t xml:space="preserve"> no deberían estar en el sistema. </w:t>
      </w:r>
      <w:r w:rsidR="008200DE">
        <w:rPr>
          <w:rFonts w:asciiTheme="minorHAnsi" w:hAnsiTheme="minorHAnsi" w:cstheme="minorHAnsi"/>
          <w:color w:val="444444"/>
        </w:rPr>
        <w:t>Cabe mencionar que dichas c</w:t>
      </w:r>
      <w:r w:rsidRPr="008200DE">
        <w:rPr>
          <w:rFonts w:asciiTheme="minorHAnsi" w:hAnsiTheme="minorHAnsi" w:cstheme="minorHAnsi"/>
          <w:color w:val="444444"/>
        </w:rPr>
        <w:t xml:space="preserve">uentas </w:t>
      </w:r>
      <w:r w:rsidR="008200DE">
        <w:rPr>
          <w:rFonts w:asciiTheme="minorHAnsi" w:hAnsiTheme="minorHAnsi" w:cstheme="minorHAnsi"/>
          <w:color w:val="444444"/>
        </w:rPr>
        <w:t xml:space="preserve">INDETEC las generó </w:t>
      </w:r>
      <w:r w:rsidRPr="008200DE">
        <w:rPr>
          <w:rFonts w:asciiTheme="minorHAnsi" w:hAnsiTheme="minorHAnsi" w:cstheme="minorHAnsi"/>
          <w:color w:val="444444"/>
        </w:rPr>
        <w:t xml:space="preserve">como parte de las reglas de operación del sistema, </w:t>
      </w:r>
      <w:r w:rsidR="00CD1DF0">
        <w:rPr>
          <w:rFonts w:asciiTheme="minorHAnsi" w:hAnsiTheme="minorHAnsi" w:cstheme="minorHAnsi"/>
          <w:color w:val="444444"/>
        </w:rPr>
        <w:t>debido a que</w:t>
      </w:r>
      <w:r w:rsidRPr="008200DE">
        <w:rPr>
          <w:rFonts w:asciiTheme="minorHAnsi" w:hAnsiTheme="minorHAnsi" w:cstheme="minorHAnsi"/>
          <w:color w:val="444444"/>
        </w:rPr>
        <w:t xml:space="preserve"> desde el 2010 </w:t>
      </w:r>
      <w:r w:rsidR="008200DE">
        <w:rPr>
          <w:rFonts w:asciiTheme="minorHAnsi" w:hAnsiTheme="minorHAnsi" w:cstheme="minorHAnsi"/>
          <w:color w:val="444444"/>
        </w:rPr>
        <w:t xml:space="preserve">se </w:t>
      </w:r>
      <w:r w:rsidR="00CD1DF0">
        <w:rPr>
          <w:rFonts w:asciiTheme="minorHAnsi" w:hAnsiTheme="minorHAnsi" w:cstheme="minorHAnsi"/>
          <w:color w:val="444444"/>
        </w:rPr>
        <w:t>detectó que</w:t>
      </w:r>
      <w:r w:rsidRPr="008200DE">
        <w:rPr>
          <w:rFonts w:asciiTheme="minorHAnsi" w:hAnsiTheme="minorHAnsi" w:cstheme="minorHAnsi"/>
          <w:color w:val="444444"/>
        </w:rPr>
        <w:t xml:space="preserve"> los egresos pagados que no tenían un quinto digito y no coincidían con la matriz de gastos devengados, </w:t>
      </w:r>
      <w:r w:rsidR="00CD1DF0">
        <w:rPr>
          <w:rFonts w:asciiTheme="minorHAnsi" w:hAnsiTheme="minorHAnsi" w:cstheme="minorHAnsi"/>
          <w:color w:val="444444"/>
        </w:rPr>
        <w:t xml:space="preserve">y </w:t>
      </w:r>
      <w:r w:rsidRPr="008200DE">
        <w:rPr>
          <w:rFonts w:asciiTheme="minorHAnsi" w:hAnsiTheme="minorHAnsi" w:cstheme="minorHAnsi"/>
          <w:color w:val="444444"/>
        </w:rPr>
        <w:t xml:space="preserve">con la idea de homogeneizar la estructura, </w:t>
      </w:r>
      <w:r w:rsidR="00CD1DF0">
        <w:rPr>
          <w:rFonts w:asciiTheme="minorHAnsi" w:hAnsiTheme="minorHAnsi" w:cstheme="minorHAnsi"/>
          <w:color w:val="444444"/>
        </w:rPr>
        <w:t>se utilizó</w:t>
      </w:r>
      <w:r w:rsidRPr="008200DE">
        <w:rPr>
          <w:rFonts w:asciiTheme="minorHAnsi" w:hAnsiTheme="minorHAnsi" w:cstheme="minorHAnsi"/>
          <w:color w:val="444444"/>
        </w:rPr>
        <w:t xml:space="preserve"> el "-0" con la idea de hacer el cambio en el futuro cuando </w:t>
      </w:r>
      <w:r w:rsidR="00CD1DF0">
        <w:rPr>
          <w:rFonts w:asciiTheme="minorHAnsi" w:hAnsiTheme="minorHAnsi" w:cstheme="minorHAnsi"/>
          <w:color w:val="444444"/>
        </w:rPr>
        <w:t xml:space="preserve">se tuviera </w:t>
      </w:r>
      <w:r w:rsidRPr="008200DE">
        <w:rPr>
          <w:rFonts w:asciiTheme="minorHAnsi" w:hAnsiTheme="minorHAnsi" w:cstheme="minorHAnsi"/>
          <w:color w:val="444444"/>
        </w:rPr>
        <w:t>el criterio correcto a utilizar.</w:t>
      </w:r>
    </w:p>
    <w:p w:rsidR="00DF5BD5" w:rsidRPr="008200DE" w:rsidRDefault="00CD1DF0" w:rsidP="00DF5BD5">
      <w:pPr>
        <w:pStyle w:val="ecxmsonormal"/>
        <w:shd w:val="clear" w:color="auto" w:fill="FFFFFF"/>
        <w:spacing w:before="0" w:beforeAutospacing="0" w:after="324" w:afterAutospacing="0" w:line="312" w:lineRule="atLeast"/>
        <w:jc w:val="both"/>
        <w:rPr>
          <w:rFonts w:asciiTheme="minorHAnsi" w:hAnsiTheme="minorHAnsi" w:cstheme="minorHAnsi"/>
          <w:color w:val="444444"/>
        </w:rPr>
      </w:pPr>
      <w:r>
        <w:rPr>
          <w:rFonts w:asciiTheme="minorHAnsi" w:hAnsiTheme="minorHAnsi" w:cstheme="minorHAnsi"/>
          <w:color w:val="444444"/>
        </w:rPr>
        <w:t>Una vez retomado el análisis</w:t>
      </w:r>
      <w:r w:rsidRPr="00CD1DF0">
        <w:rPr>
          <w:rFonts w:asciiTheme="minorHAnsi" w:hAnsiTheme="minorHAnsi" w:cstheme="minorHAnsi"/>
          <w:color w:val="444444"/>
        </w:rPr>
        <w:t xml:space="preserve"> </w:t>
      </w:r>
      <w:r>
        <w:rPr>
          <w:rFonts w:asciiTheme="minorHAnsi" w:hAnsiTheme="minorHAnsi" w:cstheme="minorHAnsi"/>
          <w:color w:val="444444"/>
        </w:rPr>
        <w:t>de lo anterior, l</w:t>
      </w:r>
      <w:r w:rsidR="00DF5BD5" w:rsidRPr="008200DE">
        <w:rPr>
          <w:rFonts w:asciiTheme="minorHAnsi" w:hAnsiTheme="minorHAnsi" w:cstheme="minorHAnsi"/>
          <w:color w:val="444444"/>
        </w:rPr>
        <w:t xml:space="preserve">os compañeros </w:t>
      </w:r>
      <w:r>
        <w:rPr>
          <w:rFonts w:asciiTheme="minorHAnsi" w:hAnsiTheme="minorHAnsi" w:cstheme="minorHAnsi"/>
          <w:color w:val="444444"/>
        </w:rPr>
        <w:t>c</w:t>
      </w:r>
      <w:r w:rsidR="00DF5BD5" w:rsidRPr="008200DE">
        <w:rPr>
          <w:rFonts w:asciiTheme="minorHAnsi" w:hAnsiTheme="minorHAnsi" w:cstheme="minorHAnsi"/>
          <w:color w:val="444444"/>
        </w:rPr>
        <w:t>ontadores</w:t>
      </w:r>
      <w:r>
        <w:rPr>
          <w:rFonts w:asciiTheme="minorHAnsi" w:hAnsiTheme="minorHAnsi" w:cstheme="minorHAnsi"/>
          <w:color w:val="444444"/>
        </w:rPr>
        <w:t xml:space="preserve"> del INDETEC</w:t>
      </w:r>
      <w:r w:rsidR="00DF5BD5" w:rsidRPr="008200DE">
        <w:rPr>
          <w:rFonts w:asciiTheme="minorHAnsi" w:hAnsiTheme="minorHAnsi" w:cstheme="minorHAnsi"/>
          <w:color w:val="444444"/>
        </w:rPr>
        <w:t xml:space="preserve">, nos hicieron la observación de que </w:t>
      </w:r>
      <w:r>
        <w:rPr>
          <w:rFonts w:asciiTheme="minorHAnsi" w:hAnsiTheme="minorHAnsi" w:cstheme="minorHAnsi"/>
          <w:b/>
          <w:color w:val="444444"/>
        </w:rPr>
        <w:t>ya no</w:t>
      </w:r>
      <w:r w:rsidR="00DF5BD5" w:rsidRPr="00CD1DF0">
        <w:rPr>
          <w:rFonts w:asciiTheme="minorHAnsi" w:hAnsiTheme="minorHAnsi" w:cstheme="minorHAnsi"/>
          <w:b/>
          <w:color w:val="444444"/>
        </w:rPr>
        <w:t xml:space="preserve"> se deben de usar las cuentas 2111-0 y 2112-0</w:t>
      </w:r>
      <w:r w:rsidR="00DF5BD5" w:rsidRPr="008200DE">
        <w:rPr>
          <w:rFonts w:asciiTheme="minorHAnsi" w:hAnsiTheme="minorHAnsi" w:cstheme="minorHAnsi"/>
          <w:color w:val="444444"/>
        </w:rPr>
        <w:t xml:space="preserve">, motivo por el cual se aplicó el cambio de manera que el Sistema pudiera hacer uso de matrices apegadas más cercanamente a la norma publicada dentro del </w:t>
      </w:r>
      <w:r w:rsidR="008B483A" w:rsidRPr="008200DE">
        <w:rPr>
          <w:rFonts w:asciiTheme="minorHAnsi" w:hAnsiTheme="minorHAnsi" w:cstheme="minorHAnsi"/>
          <w:color w:val="444444"/>
        </w:rPr>
        <w:t>M</w:t>
      </w:r>
      <w:r w:rsidR="00DF5BD5" w:rsidRPr="008200DE">
        <w:rPr>
          <w:rFonts w:asciiTheme="minorHAnsi" w:hAnsiTheme="minorHAnsi" w:cstheme="minorHAnsi"/>
          <w:color w:val="444444"/>
        </w:rPr>
        <w:t>anual de Contabilidad. De manera que si se estaban usando las 2112-0, fueron reclasificadas a la cuenta 2112-</w:t>
      </w:r>
      <w:r w:rsidR="008B483A" w:rsidRPr="008200DE">
        <w:rPr>
          <w:rFonts w:asciiTheme="minorHAnsi" w:hAnsiTheme="minorHAnsi" w:cstheme="minorHAnsi"/>
          <w:color w:val="444444"/>
        </w:rPr>
        <w:t>x</w:t>
      </w:r>
      <w:r w:rsidR="00DF5BD5" w:rsidRPr="008200DE">
        <w:rPr>
          <w:rFonts w:asciiTheme="minorHAnsi" w:hAnsiTheme="minorHAnsi" w:cstheme="minorHAnsi"/>
          <w:color w:val="444444"/>
        </w:rPr>
        <w:t>, bajo el siguiente criterio: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0"/>
        <w:gridCol w:w="3896"/>
        <w:gridCol w:w="3702"/>
      </w:tblGrid>
      <w:tr w:rsidR="00DF5BD5" w:rsidRPr="008200DE" w:rsidTr="00DF5BD5">
        <w:tc>
          <w:tcPr>
            <w:tcW w:w="1242" w:type="dxa"/>
            <w:shd w:val="clear" w:color="auto" w:fill="D9D9D9" w:themeFill="background1" w:themeFillShade="D9"/>
          </w:tcPr>
          <w:p w:rsidR="00DF5BD5" w:rsidRPr="008200DE" w:rsidRDefault="00DF5BD5" w:rsidP="00DF5BD5">
            <w:pPr>
              <w:jc w:val="both"/>
              <w:rPr>
                <w:rFonts w:eastAsia="Times New Roman" w:cstheme="minorHAnsi"/>
                <w:color w:val="444444"/>
                <w:sz w:val="24"/>
                <w:szCs w:val="24"/>
                <w:lang w:eastAsia="es-MX"/>
              </w:rPr>
            </w:pPr>
            <w:r w:rsidRPr="008200DE">
              <w:rPr>
                <w:rFonts w:cstheme="minorHAnsi"/>
                <w:color w:val="444444"/>
                <w:sz w:val="24"/>
                <w:szCs w:val="24"/>
              </w:rPr>
              <w:t> </w:t>
            </w:r>
            <w:r w:rsidRPr="008200DE">
              <w:rPr>
                <w:rFonts w:eastAsia="Times New Roman" w:cstheme="minorHAnsi"/>
                <w:color w:val="444444"/>
                <w:sz w:val="24"/>
                <w:szCs w:val="24"/>
                <w:lang w:eastAsia="es-MX"/>
              </w:rPr>
              <w:t>2112-0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DF5BD5" w:rsidRPr="008200DE" w:rsidRDefault="00DF5BD5" w:rsidP="00DF5BD5">
            <w:pPr>
              <w:jc w:val="both"/>
              <w:rPr>
                <w:rFonts w:eastAsia="Times New Roman" w:cstheme="minorHAnsi"/>
                <w:color w:val="444444"/>
                <w:sz w:val="24"/>
                <w:szCs w:val="24"/>
                <w:lang w:eastAsia="es-MX"/>
              </w:rPr>
            </w:pPr>
            <w:r w:rsidRPr="008200DE">
              <w:rPr>
                <w:rFonts w:eastAsia="Times New Roman" w:cstheme="minorHAnsi"/>
                <w:color w:val="444444"/>
                <w:sz w:val="24"/>
                <w:szCs w:val="24"/>
                <w:lang w:eastAsia="es-MX"/>
              </w:rPr>
              <w:t>Proveedores por Pagar a Corto Plazo</w:t>
            </w:r>
          </w:p>
        </w:tc>
        <w:tc>
          <w:tcPr>
            <w:tcW w:w="3767" w:type="dxa"/>
            <w:shd w:val="clear" w:color="auto" w:fill="D9D9D9" w:themeFill="background1" w:themeFillShade="D9"/>
          </w:tcPr>
          <w:p w:rsidR="00DF5BD5" w:rsidRPr="008200DE" w:rsidRDefault="00DF5BD5" w:rsidP="00DF5BD5">
            <w:pPr>
              <w:jc w:val="both"/>
              <w:rPr>
                <w:rFonts w:eastAsia="Times New Roman" w:cstheme="minorHAnsi"/>
                <w:color w:val="444444"/>
                <w:sz w:val="24"/>
                <w:szCs w:val="24"/>
                <w:lang w:eastAsia="es-MX"/>
              </w:rPr>
            </w:pPr>
            <w:r w:rsidRPr="008200DE">
              <w:rPr>
                <w:rFonts w:eastAsia="Times New Roman" w:cstheme="minorHAnsi"/>
                <w:color w:val="444444"/>
                <w:sz w:val="24"/>
                <w:szCs w:val="24"/>
                <w:lang w:eastAsia="es-MX"/>
              </w:rPr>
              <w:t>Esta cuenta no debe existir, se deben acomodar en cuentas de quinto digito que ya existen referenciadas en la matriz de conversión.</w:t>
            </w:r>
          </w:p>
        </w:tc>
      </w:tr>
      <w:tr w:rsidR="00DF5BD5" w:rsidRPr="008200DE" w:rsidTr="00DF5BD5">
        <w:tc>
          <w:tcPr>
            <w:tcW w:w="1242" w:type="dxa"/>
          </w:tcPr>
          <w:p w:rsidR="00DF5BD5" w:rsidRPr="008200DE" w:rsidRDefault="00DF5BD5" w:rsidP="00DF5BD5">
            <w:pPr>
              <w:jc w:val="both"/>
              <w:rPr>
                <w:rFonts w:eastAsia="Times New Roman" w:cstheme="minorHAnsi"/>
                <w:color w:val="444444"/>
                <w:sz w:val="24"/>
                <w:szCs w:val="24"/>
                <w:lang w:eastAsia="es-MX"/>
              </w:rPr>
            </w:pPr>
            <w:r w:rsidRPr="008200DE">
              <w:rPr>
                <w:rFonts w:eastAsia="Times New Roman" w:cstheme="minorHAnsi"/>
                <w:color w:val="444444"/>
                <w:sz w:val="24"/>
                <w:szCs w:val="24"/>
                <w:lang w:eastAsia="es-MX"/>
              </w:rPr>
              <w:t>2112-1</w:t>
            </w:r>
          </w:p>
        </w:tc>
        <w:tc>
          <w:tcPr>
            <w:tcW w:w="3969" w:type="dxa"/>
          </w:tcPr>
          <w:p w:rsidR="00DF5BD5" w:rsidRPr="008200DE" w:rsidRDefault="00DF5BD5" w:rsidP="00DF5BD5">
            <w:pPr>
              <w:jc w:val="both"/>
              <w:rPr>
                <w:rFonts w:eastAsia="Times New Roman" w:cstheme="minorHAnsi"/>
                <w:color w:val="444444"/>
                <w:sz w:val="24"/>
                <w:szCs w:val="24"/>
                <w:lang w:eastAsia="es-MX"/>
              </w:rPr>
            </w:pPr>
            <w:r w:rsidRPr="008200DE">
              <w:rPr>
                <w:rFonts w:eastAsia="Times New Roman" w:cstheme="minorHAnsi"/>
                <w:color w:val="444444"/>
                <w:sz w:val="24"/>
                <w:szCs w:val="24"/>
                <w:lang w:eastAsia="es-MX"/>
              </w:rPr>
              <w:t>Deudas por Adquisición de Bienes y Contratación de Servicios por Pagar a CP</w:t>
            </w:r>
          </w:p>
        </w:tc>
        <w:tc>
          <w:tcPr>
            <w:tcW w:w="3767" w:type="dxa"/>
          </w:tcPr>
          <w:p w:rsidR="00DF5BD5" w:rsidRPr="008200DE" w:rsidRDefault="00DF5BD5" w:rsidP="00DF5BD5">
            <w:pPr>
              <w:jc w:val="both"/>
              <w:rPr>
                <w:rFonts w:eastAsia="Times New Roman" w:cstheme="minorHAnsi"/>
                <w:color w:val="444444"/>
                <w:sz w:val="24"/>
                <w:szCs w:val="24"/>
                <w:lang w:eastAsia="es-MX"/>
              </w:rPr>
            </w:pPr>
            <w:r w:rsidRPr="008200DE">
              <w:rPr>
                <w:rFonts w:eastAsia="Times New Roman" w:cstheme="minorHAnsi"/>
                <w:color w:val="444444"/>
                <w:sz w:val="24"/>
                <w:szCs w:val="24"/>
                <w:lang w:eastAsia="es-MX"/>
              </w:rPr>
              <w:t>Se registran afectaciones al capítulo 2000 y 3000 del COG</w:t>
            </w:r>
          </w:p>
        </w:tc>
      </w:tr>
      <w:tr w:rsidR="00DF5BD5" w:rsidRPr="008200DE" w:rsidTr="00DF5BD5">
        <w:tc>
          <w:tcPr>
            <w:tcW w:w="1242" w:type="dxa"/>
          </w:tcPr>
          <w:p w:rsidR="00DF5BD5" w:rsidRPr="008200DE" w:rsidRDefault="00DF5BD5" w:rsidP="00DF5BD5">
            <w:pPr>
              <w:jc w:val="both"/>
              <w:rPr>
                <w:rFonts w:eastAsia="Times New Roman" w:cstheme="minorHAnsi"/>
                <w:color w:val="444444"/>
                <w:sz w:val="24"/>
                <w:szCs w:val="24"/>
                <w:lang w:eastAsia="es-MX"/>
              </w:rPr>
            </w:pPr>
            <w:r w:rsidRPr="008200DE">
              <w:rPr>
                <w:rFonts w:eastAsia="Times New Roman" w:cstheme="minorHAnsi"/>
                <w:color w:val="444444"/>
                <w:sz w:val="24"/>
                <w:szCs w:val="24"/>
                <w:lang w:eastAsia="es-MX"/>
              </w:rPr>
              <w:lastRenderedPageBreak/>
              <w:t>2112-2</w:t>
            </w:r>
          </w:p>
        </w:tc>
        <w:tc>
          <w:tcPr>
            <w:tcW w:w="3969" w:type="dxa"/>
          </w:tcPr>
          <w:p w:rsidR="00DF5BD5" w:rsidRPr="008200DE" w:rsidRDefault="00DF5BD5" w:rsidP="00DF5BD5">
            <w:pPr>
              <w:jc w:val="both"/>
              <w:rPr>
                <w:rFonts w:eastAsia="Times New Roman" w:cstheme="minorHAnsi"/>
                <w:color w:val="444444"/>
                <w:sz w:val="24"/>
                <w:szCs w:val="24"/>
                <w:lang w:eastAsia="es-MX"/>
              </w:rPr>
            </w:pPr>
            <w:r w:rsidRPr="008200DE">
              <w:rPr>
                <w:rFonts w:eastAsia="Times New Roman" w:cstheme="minorHAnsi"/>
                <w:color w:val="444444"/>
                <w:sz w:val="24"/>
                <w:szCs w:val="24"/>
                <w:lang w:eastAsia="es-MX"/>
              </w:rPr>
              <w:t>Deudas por Adquisición de Bienes Inmuebles, Muebles e Intangibles por Pagar a CP</w:t>
            </w:r>
          </w:p>
        </w:tc>
        <w:tc>
          <w:tcPr>
            <w:tcW w:w="3767" w:type="dxa"/>
          </w:tcPr>
          <w:p w:rsidR="00DF5BD5" w:rsidRPr="008200DE" w:rsidRDefault="00DF5BD5" w:rsidP="00DF5BD5">
            <w:pPr>
              <w:jc w:val="both"/>
              <w:rPr>
                <w:rFonts w:eastAsia="Times New Roman" w:cstheme="minorHAnsi"/>
                <w:color w:val="444444"/>
                <w:sz w:val="24"/>
                <w:szCs w:val="24"/>
                <w:lang w:eastAsia="es-MX"/>
              </w:rPr>
            </w:pPr>
            <w:r w:rsidRPr="008200DE">
              <w:rPr>
                <w:rFonts w:eastAsia="Times New Roman" w:cstheme="minorHAnsi"/>
                <w:color w:val="444444"/>
                <w:sz w:val="24"/>
                <w:szCs w:val="24"/>
                <w:lang w:eastAsia="es-MX"/>
              </w:rPr>
              <w:t>Se registran afectaciones al capítulo 5000 del COG</w:t>
            </w:r>
          </w:p>
        </w:tc>
      </w:tr>
    </w:tbl>
    <w:p w:rsidR="006A6CA1" w:rsidRPr="008200DE" w:rsidRDefault="006A6CA1" w:rsidP="00DF5BD5">
      <w:pPr>
        <w:jc w:val="both"/>
        <w:rPr>
          <w:rFonts w:cstheme="minorHAnsi"/>
          <w:sz w:val="24"/>
          <w:szCs w:val="24"/>
        </w:rPr>
      </w:pPr>
    </w:p>
    <w:p w:rsidR="00DF5BD5" w:rsidRPr="008200DE" w:rsidRDefault="00DF5BD5" w:rsidP="00DF5BD5">
      <w:pPr>
        <w:jc w:val="both"/>
        <w:rPr>
          <w:rFonts w:cstheme="minorHAnsi"/>
          <w:color w:val="444444"/>
          <w:sz w:val="24"/>
          <w:szCs w:val="24"/>
          <w:shd w:val="clear" w:color="auto" w:fill="FFFFFF"/>
        </w:rPr>
      </w:pPr>
      <w:r w:rsidRPr="008200DE">
        <w:rPr>
          <w:rFonts w:cstheme="minorHAnsi"/>
          <w:color w:val="444444"/>
          <w:sz w:val="24"/>
          <w:szCs w:val="24"/>
          <w:shd w:val="clear" w:color="auto" w:fill="FFFFFF"/>
        </w:rPr>
        <w:t>Así mismo la cuenta 2111-0, fue reclasificada a alguno de los siguientes niveles, según corresponda la partida específica que se encuentre en uso: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27"/>
        <w:gridCol w:w="3903"/>
        <w:gridCol w:w="3698"/>
      </w:tblGrid>
      <w:tr w:rsidR="00DF5BD5" w:rsidRPr="008200DE" w:rsidTr="00FB35E7">
        <w:tc>
          <w:tcPr>
            <w:tcW w:w="1242" w:type="dxa"/>
            <w:shd w:val="clear" w:color="auto" w:fill="D9D9D9" w:themeFill="background1" w:themeFillShade="D9"/>
          </w:tcPr>
          <w:p w:rsidR="00DF5BD5" w:rsidRPr="008200DE" w:rsidRDefault="00DF5BD5" w:rsidP="00DF5BD5">
            <w:pPr>
              <w:jc w:val="both"/>
              <w:rPr>
                <w:rFonts w:cstheme="minorHAnsi"/>
                <w:color w:val="444444"/>
                <w:sz w:val="24"/>
                <w:szCs w:val="24"/>
              </w:rPr>
            </w:pPr>
            <w:r w:rsidRPr="008200DE">
              <w:rPr>
                <w:rFonts w:cstheme="minorHAnsi"/>
                <w:color w:val="444444"/>
                <w:sz w:val="24"/>
                <w:szCs w:val="24"/>
              </w:rPr>
              <w:t>2111-0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DF5BD5" w:rsidRPr="008200DE" w:rsidRDefault="00DF5BD5" w:rsidP="00DF5BD5">
            <w:pPr>
              <w:jc w:val="both"/>
              <w:rPr>
                <w:rFonts w:cstheme="minorHAnsi"/>
                <w:color w:val="444444"/>
                <w:sz w:val="24"/>
                <w:szCs w:val="24"/>
              </w:rPr>
            </w:pPr>
            <w:r w:rsidRPr="008200DE">
              <w:rPr>
                <w:rFonts w:cstheme="minorHAnsi"/>
                <w:color w:val="444444"/>
                <w:sz w:val="24"/>
                <w:szCs w:val="24"/>
              </w:rPr>
              <w:t>Servicios Personales por Pagar a Corto Plazo</w:t>
            </w:r>
          </w:p>
        </w:tc>
        <w:tc>
          <w:tcPr>
            <w:tcW w:w="3767" w:type="dxa"/>
            <w:shd w:val="clear" w:color="auto" w:fill="D9D9D9" w:themeFill="background1" w:themeFillShade="D9"/>
          </w:tcPr>
          <w:p w:rsidR="00DF5BD5" w:rsidRPr="008200DE" w:rsidRDefault="00DF5BD5" w:rsidP="00DF5BD5">
            <w:pPr>
              <w:jc w:val="both"/>
              <w:rPr>
                <w:rFonts w:cstheme="minorHAnsi"/>
                <w:color w:val="444444"/>
                <w:sz w:val="24"/>
                <w:szCs w:val="24"/>
              </w:rPr>
            </w:pPr>
            <w:r w:rsidRPr="008200DE">
              <w:rPr>
                <w:rFonts w:cstheme="minorHAnsi"/>
                <w:color w:val="444444"/>
                <w:sz w:val="24"/>
                <w:szCs w:val="24"/>
              </w:rPr>
              <w:t>Esta cuenta no debe existir, se deben acomodar en cuentas de quinto digito que ya existen referenciadas en la matriz de conversión.</w:t>
            </w:r>
          </w:p>
        </w:tc>
      </w:tr>
      <w:tr w:rsidR="00DF5BD5" w:rsidRPr="008200DE" w:rsidTr="00DF5BD5">
        <w:tc>
          <w:tcPr>
            <w:tcW w:w="1242" w:type="dxa"/>
          </w:tcPr>
          <w:p w:rsidR="00DF5BD5" w:rsidRPr="008200DE" w:rsidRDefault="00DF5BD5" w:rsidP="00DF5BD5">
            <w:pPr>
              <w:jc w:val="both"/>
              <w:rPr>
                <w:rFonts w:eastAsia="Times New Roman" w:cstheme="minorHAnsi"/>
                <w:color w:val="444444"/>
                <w:sz w:val="24"/>
                <w:szCs w:val="24"/>
                <w:lang w:eastAsia="es-MX"/>
              </w:rPr>
            </w:pPr>
            <w:r w:rsidRPr="008200DE">
              <w:rPr>
                <w:rFonts w:eastAsia="Times New Roman" w:cstheme="minorHAnsi"/>
                <w:color w:val="444444"/>
                <w:sz w:val="24"/>
                <w:szCs w:val="24"/>
                <w:lang w:eastAsia="es-MX"/>
              </w:rPr>
              <w:t>2111-1</w:t>
            </w:r>
          </w:p>
        </w:tc>
        <w:tc>
          <w:tcPr>
            <w:tcW w:w="3969" w:type="dxa"/>
          </w:tcPr>
          <w:p w:rsidR="00DF5BD5" w:rsidRPr="008200DE" w:rsidRDefault="00DF5BD5" w:rsidP="00DF5BD5">
            <w:pPr>
              <w:jc w:val="both"/>
              <w:rPr>
                <w:rFonts w:eastAsia="Times New Roman" w:cstheme="minorHAnsi"/>
                <w:color w:val="444444"/>
                <w:sz w:val="24"/>
                <w:szCs w:val="24"/>
                <w:lang w:eastAsia="es-MX"/>
              </w:rPr>
            </w:pPr>
            <w:r w:rsidRPr="008200DE">
              <w:rPr>
                <w:rFonts w:eastAsia="Times New Roman" w:cstheme="minorHAnsi"/>
                <w:color w:val="444444"/>
                <w:sz w:val="24"/>
                <w:szCs w:val="24"/>
                <w:lang w:eastAsia="es-MX"/>
              </w:rPr>
              <w:t>Remuneración por pagar al Personal de carácter permanente a CP</w:t>
            </w:r>
          </w:p>
        </w:tc>
        <w:tc>
          <w:tcPr>
            <w:tcW w:w="3767" w:type="dxa"/>
          </w:tcPr>
          <w:p w:rsidR="00DF5BD5" w:rsidRPr="008200DE" w:rsidRDefault="00DF5BD5" w:rsidP="00DF5BD5">
            <w:pPr>
              <w:jc w:val="both"/>
              <w:rPr>
                <w:rFonts w:eastAsia="Times New Roman" w:cstheme="minorHAnsi"/>
                <w:color w:val="444444"/>
                <w:sz w:val="24"/>
                <w:szCs w:val="24"/>
                <w:lang w:eastAsia="es-MX"/>
              </w:rPr>
            </w:pPr>
          </w:p>
        </w:tc>
      </w:tr>
      <w:tr w:rsidR="00DF5BD5" w:rsidRPr="008200DE" w:rsidTr="00DF5BD5">
        <w:tc>
          <w:tcPr>
            <w:tcW w:w="1242" w:type="dxa"/>
          </w:tcPr>
          <w:p w:rsidR="00DF5BD5" w:rsidRPr="008200DE" w:rsidRDefault="00DF5BD5" w:rsidP="00DF5BD5">
            <w:pPr>
              <w:jc w:val="both"/>
              <w:rPr>
                <w:rFonts w:eastAsia="Times New Roman" w:cstheme="minorHAnsi"/>
                <w:color w:val="444444"/>
                <w:sz w:val="24"/>
                <w:szCs w:val="24"/>
                <w:lang w:eastAsia="es-MX"/>
              </w:rPr>
            </w:pPr>
            <w:r w:rsidRPr="008200DE">
              <w:rPr>
                <w:rFonts w:eastAsia="Times New Roman" w:cstheme="minorHAnsi"/>
                <w:color w:val="444444"/>
                <w:sz w:val="24"/>
                <w:szCs w:val="24"/>
                <w:lang w:eastAsia="es-MX"/>
              </w:rPr>
              <w:t>2111-2</w:t>
            </w:r>
          </w:p>
        </w:tc>
        <w:tc>
          <w:tcPr>
            <w:tcW w:w="3969" w:type="dxa"/>
          </w:tcPr>
          <w:p w:rsidR="00DF5BD5" w:rsidRPr="008200DE" w:rsidRDefault="00DF5BD5" w:rsidP="00DF5BD5">
            <w:pPr>
              <w:jc w:val="both"/>
              <w:rPr>
                <w:rFonts w:eastAsia="Times New Roman" w:cstheme="minorHAnsi"/>
                <w:color w:val="444444"/>
                <w:sz w:val="24"/>
                <w:szCs w:val="24"/>
                <w:lang w:eastAsia="es-MX"/>
              </w:rPr>
            </w:pPr>
            <w:r w:rsidRPr="008200DE">
              <w:rPr>
                <w:rFonts w:eastAsia="Times New Roman" w:cstheme="minorHAnsi"/>
                <w:color w:val="444444"/>
                <w:sz w:val="24"/>
                <w:szCs w:val="24"/>
                <w:lang w:eastAsia="es-MX"/>
              </w:rPr>
              <w:t>Remuneración por pagar al Personal de carácter transitorio a CP</w:t>
            </w:r>
          </w:p>
        </w:tc>
        <w:tc>
          <w:tcPr>
            <w:tcW w:w="3767" w:type="dxa"/>
          </w:tcPr>
          <w:p w:rsidR="00DF5BD5" w:rsidRPr="008200DE" w:rsidRDefault="00DF5BD5" w:rsidP="00DF5BD5">
            <w:pPr>
              <w:jc w:val="both"/>
              <w:rPr>
                <w:rFonts w:eastAsia="Times New Roman" w:cstheme="minorHAnsi"/>
                <w:color w:val="444444"/>
                <w:sz w:val="24"/>
                <w:szCs w:val="24"/>
                <w:lang w:eastAsia="es-MX"/>
              </w:rPr>
            </w:pPr>
          </w:p>
        </w:tc>
      </w:tr>
      <w:tr w:rsidR="00DF5BD5" w:rsidRPr="008200DE" w:rsidTr="00DF5BD5">
        <w:tc>
          <w:tcPr>
            <w:tcW w:w="1242" w:type="dxa"/>
          </w:tcPr>
          <w:p w:rsidR="00DF5BD5" w:rsidRPr="008200DE" w:rsidRDefault="00DF5BD5" w:rsidP="00DF5BD5">
            <w:pPr>
              <w:jc w:val="both"/>
              <w:rPr>
                <w:rFonts w:eastAsia="Times New Roman" w:cstheme="minorHAnsi"/>
                <w:color w:val="444444"/>
                <w:sz w:val="24"/>
                <w:szCs w:val="24"/>
                <w:lang w:eastAsia="es-MX"/>
              </w:rPr>
            </w:pPr>
            <w:r w:rsidRPr="008200DE">
              <w:rPr>
                <w:rFonts w:eastAsia="Times New Roman" w:cstheme="minorHAnsi"/>
                <w:color w:val="444444"/>
                <w:sz w:val="24"/>
                <w:szCs w:val="24"/>
                <w:lang w:eastAsia="es-MX"/>
              </w:rPr>
              <w:t>2111-3</w:t>
            </w:r>
          </w:p>
        </w:tc>
        <w:tc>
          <w:tcPr>
            <w:tcW w:w="3969" w:type="dxa"/>
          </w:tcPr>
          <w:p w:rsidR="00DF5BD5" w:rsidRPr="008200DE" w:rsidRDefault="00DF5BD5" w:rsidP="00DF5BD5">
            <w:pPr>
              <w:jc w:val="both"/>
              <w:rPr>
                <w:rFonts w:eastAsia="Times New Roman" w:cstheme="minorHAnsi"/>
                <w:color w:val="444444"/>
                <w:sz w:val="24"/>
                <w:szCs w:val="24"/>
                <w:lang w:eastAsia="es-MX"/>
              </w:rPr>
            </w:pPr>
            <w:r w:rsidRPr="008200DE">
              <w:rPr>
                <w:rFonts w:eastAsia="Times New Roman" w:cstheme="minorHAnsi"/>
                <w:color w:val="444444"/>
                <w:sz w:val="24"/>
                <w:szCs w:val="24"/>
                <w:lang w:eastAsia="es-MX"/>
              </w:rPr>
              <w:t>Remuneraciones Adicionales y Especiales por Pagar a CP</w:t>
            </w:r>
          </w:p>
        </w:tc>
        <w:tc>
          <w:tcPr>
            <w:tcW w:w="3767" w:type="dxa"/>
          </w:tcPr>
          <w:p w:rsidR="00DF5BD5" w:rsidRPr="008200DE" w:rsidRDefault="00DF5BD5" w:rsidP="00DF5BD5">
            <w:pPr>
              <w:jc w:val="both"/>
              <w:rPr>
                <w:rFonts w:eastAsia="Times New Roman" w:cstheme="minorHAnsi"/>
                <w:color w:val="444444"/>
                <w:sz w:val="24"/>
                <w:szCs w:val="24"/>
                <w:lang w:eastAsia="es-MX"/>
              </w:rPr>
            </w:pPr>
          </w:p>
        </w:tc>
      </w:tr>
      <w:tr w:rsidR="00DF5BD5" w:rsidRPr="008200DE" w:rsidTr="00DF5BD5">
        <w:tc>
          <w:tcPr>
            <w:tcW w:w="1242" w:type="dxa"/>
          </w:tcPr>
          <w:p w:rsidR="00DF5BD5" w:rsidRPr="008200DE" w:rsidRDefault="00DF5BD5" w:rsidP="00DF5BD5">
            <w:pPr>
              <w:jc w:val="both"/>
              <w:rPr>
                <w:rFonts w:eastAsia="Times New Roman" w:cstheme="minorHAnsi"/>
                <w:color w:val="444444"/>
                <w:sz w:val="24"/>
                <w:szCs w:val="24"/>
                <w:lang w:eastAsia="es-MX"/>
              </w:rPr>
            </w:pPr>
            <w:r w:rsidRPr="008200DE">
              <w:rPr>
                <w:rFonts w:eastAsia="Times New Roman" w:cstheme="minorHAnsi"/>
                <w:color w:val="444444"/>
                <w:sz w:val="24"/>
                <w:szCs w:val="24"/>
                <w:lang w:eastAsia="es-MX"/>
              </w:rPr>
              <w:t>2111-4</w:t>
            </w:r>
          </w:p>
        </w:tc>
        <w:tc>
          <w:tcPr>
            <w:tcW w:w="3969" w:type="dxa"/>
          </w:tcPr>
          <w:p w:rsidR="00DF5BD5" w:rsidRPr="008200DE" w:rsidRDefault="00DF5BD5" w:rsidP="00DF5BD5">
            <w:pPr>
              <w:jc w:val="both"/>
              <w:rPr>
                <w:rFonts w:eastAsia="Times New Roman" w:cstheme="minorHAnsi"/>
                <w:color w:val="444444"/>
                <w:sz w:val="24"/>
                <w:szCs w:val="24"/>
                <w:lang w:eastAsia="es-MX"/>
              </w:rPr>
            </w:pPr>
            <w:r w:rsidRPr="008200DE">
              <w:rPr>
                <w:rFonts w:eastAsia="Times New Roman" w:cstheme="minorHAnsi"/>
                <w:color w:val="444444"/>
                <w:sz w:val="24"/>
                <w:szCs w:val="24"/>
                <w:lang w:eastAsia="es-MX"/>
              </w:rPr>
              <w:t>Seguridad Social y Seguros por pagar a CP</w:t>
            </w:r>
          </w:p>
        </w:tc>
        <w:tc>
          <w:tcPr>
            <w:tcW w:w="3767" w:type="dxa"/>
          </w:tcPr>
          <w:p w:rsidR="00DF5BD5" w:rsidRPr="008200DE" w:rsidRDefault="00DF5BD5" w:rsidP="00DF5BD5">
            <w:pPr>
              <w:jc w:val="both"/>
              <w:rPr>
                <w:rFonts w:eastAsia="Times New Roman" w:cstheme="minorHAnsi"/>
                <w:color w:val="444444"/>
                <w:sz w:val="24"/>
                <w:szCs w:val="24"/>
                <w:lang w:eastAsia="es-MX"/>
              </w:rPr>
            </w:pPr>
          </w:p>
        </w:tc>
      </w:tr>
      <w:tr w:rsidR="00DF5BD5" w:rsidRPr="008200DE" w:rsidTr="00DF5BD5">
        <w:tc>
          <w:tcPr>
            <w:tcW w:w="1242" w:type="dxa"/>
          </w:tcPr>
          <w:p w:rsidR="00DF5BD5" w:rsidRPr="008200DE" w:rsidRDefault="00DF5BD5" w:rsidP="00DF5BD5">
            <w:pPr>
              <w:jc w:val="both"/>
              <w:rPr>
                <w:rFonts w:eastAsia="Times New Roman" w:cstheme="minorHAnsi"/>
                <w:color w:val="444444"/>
                <w:sz w:val="24"/>
                <w:szCs w:val="24"/>
                <w:lang w:eastAsia="es-MX"/>
              </w:rPr>
            </w:pPr>
            <w:r w:rsidRPr="008200DE">
              <w:rPr>
                <w:rFonts w:eastAsia="Times New Roman" w:cstheme="minorHAnsi"/>
                <w:color w:val="444444"/>
                <w:sz w:val="24"/>
                <w:szCs w:val="24"/>
                <w:lang w:eastAsia="es-MX"/>
              </w:rPr>
              <w:t>2111-5</w:t>
            </w:r>
          </w:p>
        </w:tc>
        <w:tc>
          <w:tcPr>
            <w:tcW w:w="3969" w:type="dxa"/>
          </w:tcPr>
          <w:p w:rsidR="00DF5BD5" w:rsidRPr="008200DE" w:rsidRDefault="00DF5BD5" w:rsidP="00DF5BD5">
            <w:pPr>
              <w:jc w:val="both"/>
              <w:rPr>
                <w:rFonts w:eastAsia="Times New Roman" w:cstheme="minorHAnsi"/>
                <w:color w:val="444444"/>
                <w:sz w:val="24"/>
                <w:szCs w:val="24"/>
                <w:lang w:eastAsia="es-MX"/>
              </w:rPr>
            </w:pPr>
            <w:r w:rsidRPr="008200DE">
              <w:rPr>
                <w:rFonts w:eastAsia="Times New Roman" w:cstheme="minorHAnsi"/>
                <w:color w:val="444444"/>
                <w:sz w:val="24"/>
                <w:szCs w:val="24"/>
                <w:lang w:eastAsia="es-MX"/>
              </w:rPr>
              <w:t>Otras prestaciones sociales y económicas por pagar a CP</w:t>
            </w:r>
          </w:p>
        </w:tc>
        <w:tc>
          <w:tcPr>
            <w:tcW w:w="3767" w:type="dxa"/>
          </w:tcPr>
          <w:p w:rsidR="00DF5BD5" w:rsidRPr="008200DE" w:rsidRDefault="00DF5BD5" w:rsidP="00DF5BD5">
            <w:pPr>
              <w:jc w:val="both"/>
              <w:rPr>
                <w:rFonts w:eastAsia="Times New Roman" w:cstheme="minorHAnsi"/>
                <w:color w:val="444444"/>
                <w:sz w:val="24"/>
                <w:szCs w:val="24"/>
                <w:lang w:eastAsia="es-MX"/>
              </w:rPr>
            </w:pPr>
          </w:p>
        </w:tc>
      </w:tr>
      <w:tr w:rsidR="00DF5BD5" w:rsidRPr="008200DE" w:rsidTr="00DF5BD5">
        <w:tc>
          <w:tcPr>
            <w:tcW w:w="1242" w:type="dxa"/>
          </w:tcPr>
          <w:p w:rsidR="00DF5BD5" w:rsidRPr="008200DE" w:rsidRDefault="00DF5BD5" w:rsidP="00DF5BD5">
            <w:pPr>
              <w:jc w:val="both"/>
              <w:rPr>
                <w:rFonts w:eastAsia="Times New Roman" w:cstheme="minorHAnsi"/>
                <w:color w:val="444444"/>
                <w:sz w:val="24"/>
                <w:szCs w:val="24"/>
                <w:lang w:eastAsia="es-MX"/>
              </w:rPr>
            </w:pPr>
            <w:r w:rsidRPr="008200DE">
              <w:rPr>
                <w:rFonts w:eastAsia="Times New Roman" w:cstheme="minorHAnsi"/>
                <w:color w:val="444444"/>
                <w:sz w:val="24"/>
                <w:szCs w:val="24"/>
                <w:lang w:eastAsia="es-MX"/>
              </w:rPr>
              <w:t>2111-6</w:t>
            </w:r>
          </w:p>
        </w:tc>
        <w:tc>
          <w:tcPr>
            <w:tcW w:w="3969" w:type="dxa"/>
          </w:tcPr>
          <w:p w:rsidR="00DF5BD5" w:rsidRPr="008200DE" w:rsidRDefault="00DF5BD5" w:rsidP="00DF5BD5">
            <w:pPr>
              <w:jc w:val="both"/>
              <w:rPr>
                <w:rFonts w:eastAsia="Times New Roman" w:cstheme="minorHAnsi"/>
                <w:color w:val="444444"/>
                <w:sz w:val="24"/>
                <w:szCs w:val="24"/>
                <w:lang w:eastAsia="es-MX"/>
              </w:rPr>
            </w:pPr>
            <w:r w:rsidRPr="008200DE">
              <w:rPr>
                <w:rFonts w:eastAsia="Times New Roman" w:cstheme="minorHAnsi"/>
                <w:color w:val="444444"/>
                <w:sz w:val="24"/>
                <w:szCs w:val="24"/>
                <w:lang w:eastAsia="es-MX"/>
              </w:rPr>
              <w:t>Estímulos a servidores públicos por pagar a CP</w:t>
            </w:r>
          </w:p>
        </w:tc>
        <w:tc>
          <w:tcPr>
            <w:tcW w:w="3767" w:type="dxa"/>
          </w:tcPr>
          <w:p w:rsidR="00DF5BD5" w:rsidRPr="008200DE" w:rsidRDefault="00DF5BD5" w:rsidP="00DF5BD5">
            <w:pPr>
              <w:jc w:val="both"/>
              <w:rPr>
                <w:rFonts w:eastAsia="Times New Roman" w:cstheme="minorHAnsi"/>
                <w:color w:val="444444"/>
                <w:sz w:val="24"/>
                <w:szCs w:val="24"/>
                <w:lang w:eastAsia="es-MX"/>
              </w:rPr>
            </w:pPr>
          </w:p>
        </w:tc>
      </w:tr>
    </w:tbl>
    <w:p w:rsidR="00DF5BD5" w:rsidRPr="008200DE" w:rsidRDefault="00DF5BD5" w:rsidP="00DF5BD5">
      <w:pPr>
        <w:jc w:val="both"/>
        <w:rPr>
          <w:rFonts w:cstheme="minorHAnsi"/>
          <w:sz w:val="24"/>
          <w:szCs w:val="24"/>
        </w:rPr>
      </w:pPr>
    </w:p>
    <w:p w:rsidR="00DF5BD5" w:rsidRPr="008200DE" w:rsidRDefault="00FB35E7" w:rsidP="00DF5BD5">
      <w:pPr>
        <w:pStyle w:val="ecxmsonormal"/>
        <w:shd w:val="clear" w:color="auto" w:fill="FFFFFF"/>
        <w:spacing w:before="0" w:beforeAutospacing="0" w:after="324" w:afterAutospacing="0" w:line="312" w:lineRule="atLeast"/>
        <w:jc w:val="both"/>
        <w:rPr>
          <w:rFonts w:asciiTheme="minorHAnsi" w:hAnsiTheme="minorHAnsi" w:cstheme="minorHAnsi"/>
          <w:color w:val="444444"/>
        </w:rPr>
      </w:pPr>
      <w:r w:rsidRPr="008200DE">
        <w:rPr>
          <w:rFonts w:asciiTheme="minorHAnsi" w:hAnsiTheme="minorHAnsi" w:cstheme="minorHAnsi"/>
          <w:color w:val="444444"/>
        </w:rPr>
        <w:t>El</w:t>
      </w:r>
      <w:r w:rsidR="00DF5BD5" w:rsidRPr="008200DE">
        <w:rPr>
          <w:rFonts w:asciiTheme="minorHAnsi" w:hAnsiTheme="minorHAnsi" w:cstheme="minorHAnsi"/>
          <w:color w:val="444444"/>
        </w:rPr>
        <w:t xml:space="preserve"> cambio se aplicó en la versión 1</w:t>
      </w:r>
      <w:r w:rsidRPr="008200DE">
        <w:rPr>
          <w:rFonts w:asciiTheme="minorHAnsi" w:hAnsiTheme="minorHAnsi" w:cstheme="minorHAnsi"/>
          <w:color w:val="444444"/>
        </w:rPr>
        <w:t>.</w:t>
      </w:r>
      <w:r w:rsidR="00DF5BD5" w:rsidRPr="008200DE">
        <w:rPr>
          <w:rFonts w:asciiTheme="minorHAnsi" w:hAnsiTheme="minorHAnsi" w:cstheme="minorHAnsi"/>
          <w:color w:val="444444"/>
        </w:rPr>
        <w:t>5</w:t>
      </w:r>
      <w:r w:rsidRPr="008200DE">
        <w:rPr>
          <w:rFonts w:asciiTheme="minorHAnsi" w:hAnsiTheme="minorHAnsi" w:cstheme="minorHAnsi"/>
          <w:color w:val="444444"/>
        </w:rPr>
        <w:t>.</w:t>
      </w:r>
      <w:r w:rsidR="00DF5BD5" w:rsidRPr="008200DE">
        <w:rPr>
          <w:rFonts w:asciiTheme="minorHAnsi" w:hAnsiTheme="minorHAnsi" w:cstheme="minorHAnsi"/>
          <w:color w:val="444444"/>
        </w:rPr>
        <w:t>0</w:t>
      </w:r>
      <w:r w:rsidRPr="008200DE">
        <w:rPr>
          <w:rFonts w:asciiTheme="minorHAnsi" w:hAnsiTheme="minorHAnsi" w:cstheme="minorHAnsi"/>
          <w:color w:val="444444"/>
        </w:rPr>
        <w:t>.</w:t>
      </w:r>
      <w:r w:rsidR="00DF5BD5" w:rsidRPr="008200DE">
        <w:rPr>
          <w:rFonts w:asciiTheme="minorHAnsi" w:hAnsiTheme="minorHAnsi" w:cstheme="minorHAnsi"/>
          <w:color w:val="444444"/>
        </w:rPr>
        <w:t>0, sin embargo, por cuestión de usuarios que no deseaban este cambio habiendo ya iniciado operaciones de algunos meses, nos vimos</w:t>
      </w:r>
      <w:r w:rsidRPr="008200DE">
        <w:rPr>
          <w:rFonts w:asciiTheme="minorHAnsi" w:hAnsiTheme="minorHAnsi" w:cstheme="minorHAnsi"/>
          <w:color w:val="444444"/>
        </w:rPr>
        <w:t xml:space="preserve"> (INDETEC)</w:t>
      </w:r>
      <w:r w:rsidR="00DF5BD5" w:rsidRPr="008200DE">
        <w:rPr>
          <w:rFonts w:asciiTheme="minorHAnsi" w:hAnsiTheme="minorHAnsi" w:cstheme="minorHAnsi"/>
          <w:color w:val="444444"/>
        </w:rPr>
        <w:t xml:space="preserve"> en la necesidad de quitarlo (en la versión 1</w:t>
      </w:r>
      <w:r w:rsidRPr="008200DE">
        <w:rPr>
          <w:rFonts w:asciiTheme="minorHAnsi" w:hAnsiTheme="minorHAnsi" w:cstheme="minorHAnsi"/>
          <w:color w:val="444444"/>
        </w:rPr>
        <w:t>.</w:t>
      </w:r>
      <w:r w:rsidR="00DF5BD5" w:rsidRPr="008200DE">
        <w:rPr>
          <w:rFonts w:asciiTheme="minorHAnsi" w:hAnsiTheme="minorHAnsi" w:cstheme="minorHAnsi"/>
          <w:color w:val="444444"/>
        </w:rPr>
        <w:t>5</w:t>
      </w:r>
      <w:r w:rsidRPr="008200DE">
        <w:rPr>
          <w:rFonts w:asciiTheme="minorHAnsi" w:hAnsiTheme="minorHAnsi" w:cstheme="minorHAnsi"/>
          <w:color w:val="444444"/>
        </w:rPr>
        <w:t>.</w:t>
      </w:r>
      <w:r w:rsidR="00DF5BD5" w:rsidRPr="008200DE">
        <w:rPr>
          <w:rFonts w:asciiTheme="minorHAnsi" w:hAnsiTheme="minorHAnsi" w:cstheme="minorHAnsi"/>
          <w:color w:val="444444"/>
        </w:rPr>
        <w:t>0</w:t>
      </w:r>
      <w:r w:rsidRPr="008200DE">
        <w:rPr>
          <w:rFonts w:asciiTheme="minorHAnsi" w:hAnsiTheme="minorHAnsi" w:cstheme="minorHAnsi"/>
          <w:color w:val="444444"/>
        </w:rPr>
        <w:t>.</w:t>
      </w:r>
      <w:r w:rsidR="00DF5BD5" w:rsidRPr="008200DE">
        <w:rPr>
          <w:rFonts w:asciiTheme="minorHAnsi" w:hAnsiTheme="minorHAnsi" w:cstheme="minorHAnsi"/>
          <w:color w:val="444444"/>
        </w:rPr>
        <w:t>3), para de preferencia hacer este cambio al iniciar un ejercicio nuevo.</w:t>
      </w:r>
    </w:p>
    <w:p w:rsidR="00DF5BD5" w:rsidRPr="008200DE" w:rsidRDefault="00FB35E7" w:rsidP="00DF5BD5">
      <w:pPr>
        <w:pStyle w:val="ecxmsonormal"/>
        <w:shd w:val="clear" w:color="auto" w:fill="FFFFFF"/>
        <w:spacing w:before="0" w:beforeAutospacing="0" w:after="324" w:afterAutospacing="0" w:line="312" w:lineRule="atLeast"/>
        <w:jc w:val="both"/>
        <w:rPr>
          <w:rFonts w:asciiTheme="minorHAnsi" w:hAnsiTheme="minorHAnsi" w:cstheme="minorHAnsi"/>
          <w:color w:val="444444"/>
        </w:rPr>
      </w:pPr>
      <w:r w:rsidRPr="008200DE">
        <w:rPr>
          <w:rFonts w:asciiTheme="minorHAnsi" w:hAnsiTheme="minorHAnsi" w:cstheme="minorHAnsi"/>
          <w:color w:val="444444"/>
        </w:rPr>
        <w:t>Por lo anterior</w:t>
      </w:r>
      <w:r w:rsidR="00DF5BD5" w:rsidRPr="008200DE">
        <w:rPr>
          <w:rFonts w:asciiTheme="minorHAnsi" w:hAnsiTheme="minorHAnsi" w:cstheme="minorHAnsi"/>
          <w:color w:val="444444"/>
        </w:rPr>
        <w:t>, algunos usuarios siguen usando la 2112-0 porque nunca actualizaron con la versión 1</w:t>
      </w:r>
      <w:r w:rsidRPr="008200DE">
        <w:rPr>
          <w:rFonts w:asciiTheme="minorHAnsi" w:hAnsiTheme="minorHAnsi" w:cstheme="minorHAnsi"/>
          <w:color w:val="444444"/>
        </w:rPr>
        <w:t>.</w:t>
      </w:r>
      <w:r w:rsidR="00DF5BD5" w:rsidRPr="008200DE">
        <w:rPr>
          <w:rFonts w:asciiTheme="minorHAnsi" w:hAnsiTheme="minorHAnsi" w:cstheme="minorHAnsi"/>
          <w:color w:val="444444"/>
        </w:rPr>
        <w:t>5</w:t>
      </w:r>
      <w:r w:rsidRPr="008200DE">
        <w:rPr>
          <w:rFonts w:asciiTheme="minorHAnsi" w:hAnsiTheme="minorHAnsi" w:cstheme="minorHAnsi"/>
          <w:color w:val="444444"/>
        </w:rPr>
        <w:t>.</w:t>
      </w:r>
      <w:r w:rsidR="00DF5BD5" w:rsidRPr="008200DE">
        <w:rPr>
          <w:rFonts w:asciiTheme="minorHAnsi" w:hAnsiTheme="minorHAnsi" w:cstheme="minorHAnsi"/>
          <w:color w:val="444444"/>
        </w:rPr>
        <w:t>0</w:t>
      </w:r>
      <w:r w:rsidRPr="008200DE">
        <w:rPr>
          <w:rFonts w:asciiTheme="minorHAnsi" w:hAnsiTheme="minorHAnsi" w:cstheme="minorHAnsi"/>
          <w:color w:val="444444"/>
        </w:rPr>
        <w:t>.</w:t>
      </w:r>
      <w:r w:rsidR="00DF5BD5" w:rsidRPr="008200DE">
        <w:rPr>
          <w:rFonts w:asciiTheme="minorHAnsi" w:hAnsiTheme="minorHAnsi" w:cstheme="minorHAnsi"/>
          <w:color w:val="444444"/>
        </w:rPr>
        <w:t>0, 1</w:t>
      </w:r>
      <w:r w:rsidRPr="008200DE">
        <w:rPr>
          <w:rFonts w:asciiTheme="minorHAnsi" w:hAnsiTheme="minorHAnsi" w:cstheme="minorHAnsi"/>
          <w:color w:val="444444"/>
        </w:rPr>
        <w:t>.</w:t>
      </w:r>
      <w:r w:rsidR="00DF5BD5" w:rsidRPr="008200DE">
        <w:rPr>
          <w:rFonts w:asciiTheme="minorHAnsi" w:hAnsiTheme="minorHAnsi" w:cstheme="minorHAnsi"/>
          <w:color w:val="444444"/>
        </w:rPr>
        <w:t>5</w:t>
      </w:r>
      <w:r w:rsidRPr="008200DE">
        <w:rPr>
          <w:rFonts w:asciiTheme="minorHAnsi" w:hAnsiTheme="minorHAnsi" w:cstheme="minorHAnsi"/>
          <w:color w:val="444444"/>
        </w:rPr>
        <w:t>.</w:t>
      </w:r>
      <w:r w:rsidR="00DF5BD5" w:rsidRPr="008200DE">
        <w:rPr>
          <w:rFonts w:asciiTheme="minorHAnsi" w:hAnsiTheme="minorHAnsi" w:cstheme="minorHAnsi"/>
          <w:color w:val="444444"/>
        </w:rPr>
        <w:t>0</w:t>
      </w:r>
      <w:r w:rsidRPr="008200DE">
        <w:rPr>
          <w:rFonts w:asciiTheme="minorHAnsi" w:hAnsiTheme="minorHAnsi" w:cstheme="minorHAnsi"/>
          <w:color w:val="444444"/>
        </w:rPr>
        <w:t>.</w:t>
      </w:r>
      <w:r w:rsidR="00DF5BD5" w:rsidRPr="008200DE">
        <w:rPr>
          <w:rFonts w:asciiTheme="minorHAnsi" w:hAnsiTheme="minorHAnsi" w:cstheme="minorHAnsi"/>
          <w:color w:val="444444"/>
        </w:rPr>
        <w:t xml:space="preserve">1 </w:t>
      </w:r>
      <w:proofErr w:type="spellStart"/>
      <w:r w:rsidR="00DF5BD5" w:rsidRPr="008200DE">
        <w:rPr>
          <w:rFonts w:asciiTheme="minorHAnsi" w:hAnsiTheme="minorHAnsi" w:cstheme="minorHAnsi"/>
          <w:color w:val="444444"/>
        </w:rPr>
        <w:t>ó</w:t>
      </w:r>
      <w:proofErr w:type="spellEnd"/>
      <w:r w:rsidR="00DF5BD5" w:rsidRPr="008200DE">
        <w:rPr>
          <w:rFonts w:asciiTheme="minorHAnsi" w:hAnsiTheme="minorHAnsi" w:cstheme="minorHAnsi"/>
          <w:color w:val="444444"/>
        </w:rPr>
        <w:t xml:space="preserve"> 1</w:t>
      </w:r>
      <w:r w:rsidRPr="008200DE">
        <w:rPr>
          <w:rFonts w:asciiTheme="minorHAnsi" w:hAnsiTheme="minorHAnsi" w:cstheme="minorHAnsi"/>
          <w:color w:val="444444"/>
        </w:rPr>
        <w:t>.</w:t>
      </w:r>
      <w:r w:rsidR="00DF5BD5" w:rsidRPr="008200DE">
        <w:rPr>
          <w:rFonts w:asciiTheme="minorHAnsi" w:hAnsiTheme="minorHAnsi" w:cstheme="minorHAnsi"/>
          <w:color w:val="444444"/>
        </w:rPr>
        <w:t>5</w:t>
      </w:r>
      <w:r w:rsidRPr="008200DE">
        <w:rPr>
          <w:rFonts w:asciiTheme="minorHAnsi" w:hAnsiTheme="minorHAnsi" w:cstheme="minorHAnsi"/>
          <w:color w:val="444444"/>
        </w:rPr>
        <w:t>.</w:t>
      </w:r>
      <w:r w:rsidR="00DF5BD5" w:rsidRPr="008200DE">
        <w:rPr>
          <w:rFonts w:asciiTheme="minorHAnsi" w:hAnsiTheme="minorHAnsi" w:cstheme="minorHAnsi"/>
          <w:color w:val="444444"/>
        </w:rPr>
        <w:t>0</w:t>
      </w:r>
      <w:r w:rsidRPr="008200DE">
        <w:rPr>
          <w:rFonts w:asciiTheme="minorHAnsi" w:hAnsiTheme="minorHAnsi" w:cstheme="minorHAnsi"/>
          <w:color w:val="444444"/>
        </w:rPr>
        <w:t>.</w:t>
      </w:r>
      <w:r w:rsidR="00DF5BD5" w:rsidRPr="008200DE">
        <w:rPr>
          <w:rFonts w:asciiTheme="minorHAnsi" w:hAnsiTheme="minorHAnsi" w:cstheme="minorHAnsi"/>
          <w:color w:val="444444"/>
        </w:rPr>
        <w:t>2, sino que actualizaron directo a la 1</w:t>
      </w:r>
      <w:r w:rsidRPr="008200DE">
        <w:rPr>
          <w:rFonts w:asciiTheme="minorHAnsi" w:hAnsiTheme="minorHAnsi" w:cstheme="minorHAnsi"/>
          <w:color w:val="444444"/>
        </w:rPr>
        <w:t>.</w:t>
      </w:r>
      <w:r w:rsidR="00DF5BD5" w:rsidRPr="008200DE">
        <w:rPr>
          <w:rFonts w:asciiTheme="minorHAnsi" w:hAnsiTheme="minorHAnsi" w:cstheme="minorHAnsi"/>
          <w:color w:val="444444"/>
        </w:rPr>
        <w:t>5</w:t>
      </w:r>
      <w:r w:rsidRPr="008200DE">
        <w:rPr>
          <w:rFonts w:asciiTheme="minorHAnsi" w:hAnsiTheme="minorHAnsi" w:cstheme="minorHAnsi"/>
          <w:color w:val="444444"/>
        </w:rPr>
        <w:t>.</w:t>
      </w:r>
      <w:r w:rsidR="00DF5BD5" w:rsidRPr="008200DE">
        <w:rPr>
          <w:rFonts w:asciiTheme="minorHAnsi" w:hAnsiTheme="minorHAnsi" w:cstheme="minorHAnsi"/>
          <w:color w:val="444444"/>
        </w:rPr>
        <w:t>0</w:t>
      </w:r>
      <w:r w:rsidRPr="008200DE">
        <w:rPr>
          <w:rFonts w:asciiTheme="minorHAnsi" w:hAnsiTheme="minorHAnsi" w:cstheme="minorHAnsi"/>
          <w:color w:val="444444"/>
        </w:rPr>
        <w:t>.</w:t>
      </w:r>
      <w:r w:rsidR="00DF5BD5" w:rsidRPr="008200DE">
        <w:rPr>
          <w:rFonts w:asciiTheme="minorHAnsi" w:hAnsiTheme="minorHAnsi" w:cstheme="minorHAnsi"/>
          <w:color w:val="444444"/>
        </w:rPr>
        <w:t xml:space="preserve">5. Quienes </w:t>
      </w:r>
      <w:r w:rsidRPr="008200DE">
        <w:rPr>
          <w:rFonts w:asciiTheme="minorHAnsi" w:hAnsiTheme="minorHAnsi" w:cstheme="minorHAnsi"/>
          <w:color w:val="444444"/>
        </w:rPr>
        <w:t>sí</w:t>
      </w:r>
      <w:r w:rsidR="00DF5BD5" w:rsidRPr="008200DE">
        <w:rPr>
          <w:rFonts w:asciiTheme="minorHAnsi" w:hAnsiTheme="minorHAnsi" w:cstheme="minorHAnsi"/>
          <w:color w:val="444444"/>
        </w:rPr>
        <w:t xml:space="preserve"> actualizaron con las primeras versiones 1</w:t>
      </w:r>
      <w:r w:rsidRPr="008200DE">
        <w:rPr>
          <w:rFonts w:asciiTheme="minorHAnsi" w:hAnsiTheme="minorHAnsi" w:cstheme="minorHAnsi"/>
          <w:color w:val="444444"/>
        </w:rPr>
        <w:t>.</w:t>
      </w:r>
      <w:r w:rsidR="00DF5BD5" w:rsidRPr="008200DE">
        <w:rPr>
          <w:rFonts w:asciiTheme="minorHAnsi" w:hAnsiTheme="minorHAnsi" w:cstheme="minorHAnsi"/>
          <w:color w:val="444444"/>
        </w:rPr>
        <w:t>5</w:t>
      </w:r>
      <w:r w:rsidRPr="008200DE">
        <w:rPr>
          <w:rFonts w:asciiTheme="minorHAnsi" w:hAnsiTheme="minorHAnsi" w:cstheme="minorHAnsi"/>
          <w:color w:val="444444"/>
        </w:rPr>
        <w:t>.</w:t>
      </w:r>
      <w:r w:rsidR="00DF5BD5" w:rsidRPr="008200DE">
        <w:rPr>
          <w:rFonts w:asciiTheme="minorHAnsi" w:hAnsiTheme="minorHAnsi" w:cstheme="minorHAnsi"/>
          <w:color w:val="444444"/>
        </w:rPr>
        <w:t>0</w:t>
      </w:r>
      <w:r w:rsidRPr="008200DE">
        <w:rPr>
          <w:rFonts w:asciiTheme="minorHAnsi" w:hAnsiTheme="minorHAnsi" w:cstheme="minorHAnsi"/>
          <w:color w:val="444444"/>
        </w:rPr>
        <w:t>.</w:t>
      </w:r>
      <w:r w:rsidR="00DF5BD5" w:rsidRPr="008200DE">
        <w:rPr>
          <w:rFonts w:asciiTheme="minorHAnsi" w:hAnsiTheme="minorHAnsi" w:cstheme="minorHAnsi"/>
          <w:color w:val="444444"/>
        </w:rPr>
        <w:t>0, son los que presentan este cambio.</w:t>
      </w:r>
    </w:p>
    <w:p w:rsidR="00DF5BD5" w:rsidRPr="008200DE" w:rsidRDefault="00DF5BD5" w:rsidP="00DF5BD5">
      <w:pPr>
        <w:pStyle w:val="ecxmsonormal"/>
        <w:shd w:val="clear" w:color="auto" w:fill="FFFFFF"/>
        <w:spacing w:before="0" w:beforeAutospacing="0" w:after="324" w:afterAutospacing="0" w:line="312" w:lineRule="atLeast"/>
        <w:jc w:val="both"/>
        <w:rPr>
          <w:rFonts w:asciiTheme="minorHAnsi" w:hAnsiTheme="minorHAnsi" w:cstheme="minorHAnsi"/>
          <w:color w:val="444444"/>
        </w:rPr>
      </w:pPr>
      <w:r w:rsidRPr="008200DE">
        <w:rPr>
          <w:rFonts w:asciiTheme="minorHAnsi" w:hAnsiTheme="minorHAnsi" w:cstheme="minorHAnsi"/>
          <w:color w:val="444444"/>
        </w:rPr>
        <w:t xml:space="preserve">Cabe señalar que aunque algunos usuarios no habían actualizado y por eso siguen teniendo la cuenta 2112-0, no significa que no vaya a cambiar, solamente se ha postergado el cambio para cuando inicien </w:t>
      </w:r>
      <w:r w:rsidR="00FB35E7" w:rsidRPr="008200DE">
        <w:rPr>
          <w:rFonts w:asciiTheme="minorHAnsi" w:hAnsiTheme="minorHAnsi" w:cstheme="minorHAnsi"/>
          <w:color w:val="444444"/>
        </w:rPr>
        <w:t xml:space="preserve">el ejercicio </w:t>
      </w:r>
      <w:r w:rsidRPr="008200DE">
        <w:rPr>
          <w:rFonts w:asciiTheme="minorHAnsi" w:hAnsiTheme="minorHAnsi" w:cstheme="minorHAnsi"/>
          <w:color w:val="444444"/>
        </w:rPr>
        <w:t>2016.</w:t>
      </w:r>
    </w:p>
    <w:p w:rsidR="00DF5BD5" w:rsidRPr="008200DE" w:rsidRDefault="00DF5BD5" w:rsidP="00DF5BD5">
      <w:pPr>
        <w:pStyle w:val="ecxmsonormal"/>
        <w:shd w:val="clear" w:color="auto" w:fill="FFFFFF"/>
        <w:spacing w:before="0" w:beforeAutospacing="0" w:after="324" w:afterAutospacing="0" w:line="312" w:lineRule="atLeast"/>
        <w:jc w:val="both"/>
        <w:rPr>
          <w:rFonts w:asciiTheme="minorHAnsi" w:hAnsiTheme="minorHAnsi" w:cstheme="minorHAnsi"/>
          <w:color w:val="444444"/>
        </w:rPr>
      </w:pPr>
      <w:r w:rsidRPr="008200DE">
        <w:rPr>
          <w:rFonts w:asciiTheme="minorHAnsi" w:hAnsiTheme="minorHAnsi" w:cstheme="minorHAnsi"/>
          <w:color w:val="444444"/>
        </w:rPr>
        <w:t>La mecánica que tenemos prevista</w:t>
      </w:r>
      <w:r w:rsidR="00FB35E7" w:rsidRPr="008200DE">
        <w:rPr>
          <w:rFonts w:asciiTheme="minorHAnsi" w:hAnsiTheme="minorHAnsi" w:cstheme="minorHAnsi"/>
          <w:color w:val="444444"/>
        </w:rPr>
        <w:t xml:space="preserve"> </w:t>
      </w:r>
      <w:r w:rsidRPr="008200DE">
        <w:rPr>
          <w:rFonts w:asciiTheme="minorHAnsi" w:hAnsiTheme="minorHAnsi" w:cstheme="minorHAnsi"/>
          <w:color w:val="444444"/>
        </w:rPr>
        <w:t>seguir</w:t>
      </w:r>
      <w:r w:rsidR="00FB35E7" w:rsidRPr="008200DE">
        <w:rPr>
          <w:rFonts w:asciiTheme="minorHAnsi" w:hAnsiTheme="minorHAnsi" w:cstheme="minorHAnsi"/>
          <w:color w:val="444444"/>
        </w:rPr>
        <w:t xml:space="preserve"> (INDETEC),</w:t>
      </w:r>
      <w:r w:rsidRPr="008200DE">
        <w:rPr>
          <w:rFonts w:asciiTheme="minorHAnsi" w:hAnsiTheme="minorHAnsi" w:cstheme="minorHAnsi"/>
          <w:color w:val="444444"/>
        </w:rPr>
        <w:t xml:space="preserve"> es que cuando se cierre el ejercicio 2015 y se </w:t>
      </w:r>
      <w:proofErr w:type="spellStart"/>
      <w:r w:rsidRPr="008200DE">
        <w:rPr>
          <w:rFonts w:asciiTheme="minorHAnsi" w:hAnsiTheme="minorHAnsi" w:cstheme="minorHAnsi"/>
          <w:color w:val="444444"/>
        </w:rPr>
        <w:t>aperture</w:t>
      </w:r>
      <w:proofErr w:type="spellEnd"/>
      <w:r w:rsidRPr="008200DE">
        <w:rPr>
          <w:rFonts w:asciiTheme="minorHAnsi" w:hAnsiTheme="minorHAnsi" w:cstheme="minorHAnsi"/>
          <w:color w:val="444444"/>
        </w:rPr>
        <w:t xml:space="preserve"> el nuevo ejercicio 2016 se heredan los saldos de estas cuentas en la póliza de saldos iniciales. </w:t>
      </w:r>
      <w:r w:rsidR="003F672C">
        <w:rPr>
          <w:rFonts w:asciiTheme="minorHAnsi" w:hAnsiTheme="minorHAnsi" w:cstheme="minorHAnsi"/>
          <w:color w:val="444444"/>
        </w:rPr>
        <w:t xml:space="preserve">Por lo que se sugiere </w:t>
      </w:r>
      <w:r w:rsidRPr="008200DE">
        <w:rPr>
          <w:rFonts w:asciiTheme="minorHAnsi" w:hAnsiTheme="minorHAnsi" w:cstheme="minorHAnsi"/>
          <w:color w:val="444444"/>
        </w:rPr>
        <w:t xml:space="preserve">imprimir esta póliza antes de hacer la </w:t>
      </w:r>
      <w:r w:rsidRPr="008200DE">
        <w:rPr>
          <w:rFonts w:asciiTheme="minorHAnsi" w:hAnsiTheme="minorHAnsi" w:cstheme="minorHAnsi"/>
          <w:color w:val="444444"/>
        </w:rPr>
        <w:lastRenderedPageBreak/>
        <w:t>conversión y después de hacerlo para que se vean la fusión o integración de los nuevos saldos. Esto debe de servir para soportar la gestión de una auditoria, mediante las correspondientes notas a la póliza que presenta la reclasificación. </w:t>
      </w:r>
    </w:p>
    <w:p w:rsidR="00DF5BD5" w:rsidRPr="008200DE" w:rsidRDefault="00DF5BD5" w:rsidP="00DF5BD5">
      <w:pPr>
        <w:pStyle w:val="ecxmsonormal"/>
        <w:shd w:val="clear" w:color="auto" w:fill="FFFFFF"/>
        <w:spacing w:before="0" w:beforeAutospacing="0" w:after="324" w:afterAutospacing="0" w:line="312" w:lineRule="atLeast"/>
        <w:jc w:val="both"/>
        <w:rPr>
          <w:rFonts w:asciiTheme="minorHAnsi" w:hAnsiTheme="minorHAnsi" w:cstheme="minorHAnsi"/>
          <w:color w:val="444444"/>
        </w:rPr>
      </w:pPr>
      <w:r w:rsidRPr="008200DE">
        <w:rPr>
          <w:rFonts w:asciiTheme="minorHAnsi" w:hAnsiTheme="minorHAnsi" w:cstheme="minorHAnsi"/>
          <w:color w:val="444444"/>
        </w:rPr>
        <w:t xml:space="preserve">Finalmente </w:t>
      </w:r>
      <w:r w:rsidR="00FB35E7" w:rsidRPr="008200DE">
        <w:rPr>
          <w:rFonts w:asciiTheme="minorHAnsi" w:hAnsiTheme="minorHAnsi" w:cstheme="minorHAnsi"/>
          <w:color w:val="444444"/>
        </w:rPr>
        <w:t>es importante mencionar, que</w:t>
      </w:r>
      <w:r w:rsidRPr="008200DE">
        <w:rPr>
          <w:rFonts w:asciiTheme="minorHAnsi" w:hAnsiTheme="minorHAnsi" w:cstheme="minorHAnsi"/>
          <w:color w:val="444444"/>
        </w:rPr>
        <w:t xml:space="preserve"> el cambio de cuentas de la 2112-0 a la 2112-</w:t>
      </w:r>
      <w:r w:rsidR="00FB35E7" w:rsidRPr="008200DE">
        <w:rPr>
          <w:rFonts w:asciiTheme="minorHAnsi" w:hAnsiTheme="minorHAnsi" w:cstheme="minorHAnsi"/>
          <w:color w:val="444444"/>
        </w:rPr>
        <w:t>x</w:t>
      </w:r>
      <w:r w:rsidRPr="008200DE">
        <w:rPr>
          <w:rFonts w:asciiTheme="minorHAnsi" w:hAnsiTheme="minorHAnsi" w:cstheme="minorHAnsi"/>
          <w:color w:val="444444"/>
        </w:rPr>
        <w:t xml:space="preserve">, no representa ninguna afectación a nivel de </w:t>
      </w:r>
      <w:r w:rsidR="00FB35E7" w:rsidRPr="008200DE">
        <w:rPr>
          <w:rFonts w:asciiTheme="minorHAnsi" w:hAnsiTheme="minorHAnsi" w:cstheme="minorHAnsi"/>
          <w:color w:val="444444"/>
        </w:rPr>
        <w:t>Estados Financieros</w:t>
      </w:r>
      <w:r w:rsidRPr="008200DE">
        <w:rPr>
          <w:rFonts w:asciiTheme="minorHAnsi" w:hAnsiTheme="minorHAnsi" w:cstheme="minorHAnsi"/>
          <w:color w:val="444444"/>
        </w:rPr>
        <w:t xml:space="preserve">, ya que el </w:t>
      </w:r>
      <w:r w:rsidR="00FB35E7" w:rsidRPr="008200DE">
        <w:rPr>
          <w:rFonts w:asciiTheme="minorHAnsi" w:hAnsiTheme="minorHAnsi" w:cstheme="minorHAnsi"/>
          <w:color w:val="444444"/>
        </w:rPr>
        <w:t xml:space="preserve">Estado </w:t>
      </w:r>
      <w:r w:rsidRPr="008200DE">
        <w:rPr>
          <w:rFonts w:asciiTheme="minorHAnsi" w:hAnsiTheme="minorHAnsi" w:cstheme="minorHAnsi"/>
          <w:color w:val="444444"/>
        </w:rPr>
        <w:t xml:space="preserve">de </w:t>
      </w:r>
      <w:r w:rsidR="00FB35E7" w:rsidRPr="008200DE">
        <w:rPr>
          <w:rFonts w:asciiTheme="minorHAnsi" w:hAnsiTheme="minorHAnsi" w:cstheme="minorHAnsi"/>
          <w:color w:val="444444"/>
        </w:rPr>
        <w:t>Situación Financiera</w:t>
      </w:r>
      <w:r w:rsidRPr="008200DE">
        <w:rPr>
          <w:rFonts w:asciiTheme="minorHAnsi" w:hAnsiTheme="minorHAnsi" w:cstheme="minorHAnsi"/>
          <w:color w:val="444444"/>
        </w:rPr>
        <w:t xml:space="preserve">, por ejemplo, sale a tercer y cuarto nivel, casos en los que no importan los niveles subsecuentes y que no deberá representar ninguna modificación de saldos para entregas de avances de </w:t>
      </w:r>
      <w:r w:rsidR="00FB35E7" w:rsidRPr="008200DE">
        <w:rPr>
          <w:rFonts w:asciiTheme="minorHAnsi" w:hAnsiTheme="minorHAnsi" w:cstheme="minorHAnsi"/>
          <w:color w:val="444444"/>
        </w:rPr>
        <w:t xml:space="preserve">Cuentas Públicas </w:t>
      </w:r>
      <w:r w:rsidRPr="008200DE">
        <w:rPr>
          <w:rFonts w:asciiTheme="minorHAnsi" w:hAnsiTheme="minorHAnsi" w:cstheme="minorHAnsi"/>
          <w:color w:val="444444"/>
        </w:rPr>
        <w:t>y que recomendamos que quien ya tiene el cambio lo conserve, bajo la premisa que de todas maneras el cambio se aplicaría al inicio de 2016.</w:t>
      </w:r>
    </w:p>
    <w:p w:rsidR="00D20D59" w:rsidRPr="008200DE" w:rsidRDefault="00D20D59" w:rsidP="00D20D59">
      <w:pPr>
        <w:jc w:val="right"/>
        <w:rPr>
          <w:rFonts w:cstheme="minorHAnsi"/>
          <w:color w:val="444444"/>
          <w:sz w:val="24"/>
          <w:szCs w:val="24"/>
          <w:shd w:val="clear" w:color="auto" w:fill="FFFFFF"/>
        </w:rPr>
      </w:pPr>
      <w:r w:rsidRPr="008200DE">
        <w:rPr>
          <w:rFonts w:cstheme="minorHAnsi"/>
          <w:color w:val="444444"/>
          <w:sz w:val="24"/>
          <w:szCs w:val="24"/>
          <w:shd w:val="clear" w:color="auto" w:fill="FFFFFF"/>
        </w:rPr>
        <w:t xml:space="preserve">Guadalupe, Zacatecas., a </w:t>
      </w:r>
      <w:r w:rsidR="00B55542">
        <w:rPr>
          <w:rFonts w:cstheme="minorHAnsi"/>
          <w:color w:val="444444"/>
          <w:sz w:val="24"/>
          <w:szCs w:val="24"/>
          <w:shd w:val="clear" w:color="auto" w:fill="FFFFFF"/>
        </w:rPr>
        <w:t>08</w:t>
      </w:r>
      <w:r w:rsidRPr="008200DE">
        <w:rPr>
          <w:rFonts w:cstheme="minorHAnsi"/>
          <w:color w:val="444444"/>
          <w:sz w:val="24"/>
          <w:szCs w:val="24"/>
          <w:shd w:val="clear" w:color="auto" w:fill="FFFFFF"/>
        </w:rPr>
        <w:t xml:space="preserve"> de julio de 2015.</w:t>
      </w:r>
    </w:p>
    <w:p w:rsidR="00D20D59" w:rsidRPr="008200DE" w:rsidRDefault="00D20D59" w:rsidP="00D20D59">
      <w:pPr>
        <w:jc w:val="right"/>
        <w:rPr>
          <w:rFonts w:cstheme="minorHAnsi"/>
          <w:color w:val="444444"/>
          <w:sz w:val="24"/>
          <w:szCs w:val="24"/>
          <w:shd w:val="clear" w:color="auto" w:fill="FFFFFF"/>
        </w:rPr>
      </w:pPr>
    </w:p>
    <w:p w:rsidR="00D20D59" w:rsidRPr="008200DE" w:rsidRDefault="00D20D59" w:rsidP="00D20D59">
      <w:pPr>
        <w:jc w:val="both"/>
        <w:rPr>
          <w:rFonts w:cstheme="minorHAnsi"/>
          <w:color w:val="444444"/>
          <w:sz w:val="24"/>
          <w:szCs w:val="24"/>
        </w:rPr>
      </w:pPr>
      <w:r w:rsidRPr="008200DE">
        <w:rPr>
          <w:rFonts w:cstheme="minorHAnsi"/>
          <w:color w:val="444444"/>
          <w:sz w:val="24"/>
          <w:szCs w:val="24"/>
        </w:rPr>
        <w:t>Nota: Las Circulares y Avisos emitidos por el Departamento de Análisis Financiero y Presupuestal, se encuentran para su consulta y descarga en la página de</w:t>
      </w:r>
      <w:bookmarkStart w:id="0" w:name="_GoBack"/>
      <w:bookmarkEnd w:id="0"/>
      <w:r w:rsidRPr="008200DE">
        <w:rPr>
          <w:rFonts w:cstheme="minorHAnsi"/>
          <w:color w:val="444444"/>
          <w:sz w:val="24"/>
          <w:szCs w:val="24"/>
        </w:rPr>
        <w:t xml:space="preserve"> la Auditoría Superior del Estado (asezac.gob.mx)  </w:t>
      </w:r>
    </w:p>
    <w:p w:rsidR="00D20D59" w:rsidRPr="008200DE" w:rsidRDefault="00D20D59" w:rsidP="00DF5BD5">
      <w:pPr>
        <w:pStyle w:val="ecxmsonormal"/>
        <w:shd w:val="clear" w:color="auto" w:fill="FFFFFF"/>
        <w:spacing w:before="0" w:beforeAutospacing="0" w:after="324" w:afterAutospacing="0" w:line="312" w:lineRule="atLeast"/>
        <w:jc w:val="both"/>
        <w:rPr>
          <w:rFonts w:asciiTheme="minorHAnsi" w:hAnsiTheme="minorHAnsi" w:cstheme="minorHAnsi"/>
          <w:color w:val="444444"/>
        </w:rPr>
      </w:pPr>
    </w:p>
    <w:p w:rsidR="00DF5BD5" w:rsidRPr="008200DE" w:rsidRDefault="00DF5BD5" w:rsidP="00DF5BD5">
      <w:pPr>
        <w:pStyle w:val="ecxmsonormal"/>
        <w:shd w:val="clear" w:color="auto" w:fill="FFFFFF"/>
        <w:spacing w:before="0" w:beforeAutospacing="0" w:after="324" w:afterAutospacing="0" w:line="312" w:lineRule="atLeast"/>
        <w:jc w:val="both"/>
        <w:rPr>
          <w:rFonts w:asciiTheme="minorHAnsi" w:hAnsiTheme="minorHAnsi" w:cstheme="minorHAnsi"/>
          <w:color w:val="444444"/>
        </w:rPr>
      </w:pPr>
      <w:r w:rsidRPr="008200DE">
        <w:rPr>
          <w:rFonts w:asciiTheme="minorHAnsi" w:hAnsiTheme="minorHAnsi" w:cstheme="minorHAnsi"/>
          <w:color w:val="444444"/>
        </w:rPr>
        <w:t> </w:t>
      </w:r>
    </w:p>
    <w:sectPr w:rsidR="00DF5BD5" w:rsidRPr="008200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83E32"/>
    <w:multiLevelType w:val="hybridMultilevel"/>
    <w:tmpl w:val="5A0E2176"/>
    <w:lvl w:ilvl="0" w:tplc="15104D14">
      <w:start w:val="21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BD5"/>
    <w:rsid w:val="00303DF8"/>
    <w:rsid w:val="003F672C"/>
    <w:rsid w:val="004C0021"/>
    <w:rsid w:val="00687CD7"/>
    <w:rsid w:val="006A6CA1"/>
    <w:rsid w:val="00740CB0"/>
    <w:rsid w:val="00770DC4"/>
    <w:rsid w:val="008200DE"/>
    <w:rsid w:val="008B483A"/>
    <w:rsid w:val="00A479F9"/>
    <w:rsid w:val="00B55542"/>
    <w:rsid w:val="00B576FA"/>
    <w:rsid w:val="00CD1DF0"/>
    <w:rsid w:val="00D20D59"/>
    <w:rsid w:val="00DF5BD5"/>
    <w:rsid w:val="00FA7FAD"/>
    <w:rsid w:val="00FB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586DB9-4BDC-4396-B99F-D6D2E7DE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DF5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DF5BD5"/>
  </w:style>
  <w:style w:type="table" w:styleId="Tablaconcuadrcula">
    <w:name w:val="Table Grid"/>
    <w:basedOn w:val="Tablanormal"/>
    <w:uiPriority w:val="59"/>
    <w:rsid w:val="00DF5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20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791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cp:lastPrinted>2015-07-08T16:18:00Z</cp:lastPrinted>
  <dcterms:created xsi:type="dcterms:W3CDTF">2015-07-09T01:50:00Z</dcterms:created>
  <dcterms:modified xsi:type="dcterms:W3CDTF">2015-07-09T01:54:00Z</dcterms:modified>
</cp:coreProperties>
</file>